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32847406"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171E54">
        <w:rPr>
          <w:color w:val="56585B"/>
          <w:sz w:val="22"/>
        </w:rPr>
        <w:t>CA18232</w:t>
      </w:r>
    </w:p>
    <w:p w14:paraId="55DA1F87" w14:textId="1418160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171E54">
        <w:rPr>
          <w:color w:val="56585B"/>
          <w:sz w:val="22"/>
        </w:rPr>
        <w:t>Catherine Drysdale</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0147CEC6" w:rsidR="00855770" w:rsidRPr="004B1C13" w:rsidRDefault="00855770" w:rsidP="00171E54">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171E54">
              <w:rPr>
                <w:b w:val="0"/>
                <w:bCs/>
                <w:color w:val="56585B"/>
                <w:szCs w:val="18"/>
              </w:rPr>
              <w:t xml:space="preserve"> </w:t>
            </w:r>
            <w:r w:rsidR="00171E54">
              <w:rPr>
                <w:b w:val="0"/>
                <w:bCs/>
                <w:color w:val="56585B"/>
                <w:sz w:val="20"/>
                <w:szCs w:val="18"/>
              </w:rPr>
              <w:t>Title: Quasi-basis of a Metric Graph</w:t>
            </w:r>
          </w:p>
          <w:p w14:paraId="5028832A" w14:textId="7E1EDE6C"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171E54">
              <w:rPr>
                <w:b w:val="0"/>
                <w:bCs/>
                <w:color w:val="56585B"/>
                <w:sz w:val="20"/>
                <w:szCs w:val="18"/>
              </w:rPr>
              <w:t>03</w:t>
            </w:r>
            <w:r w:rsidRPr="004B1C13">
              <w:rPr>
                <w:b w:val="0"/>
                <w:bCs/>
                <w:color w:val="56585B"/>
                <w:sz w:val="20"/>
                <w:szCs w:val="18"/>
              </w:rPr>
              <w:t>/</w:t>
            </w:r>
            <w:r w:rsidR="00171E54">
              <w:rPr>
                <w:b w:val="0"/>
                <w:bCs/>
                <w:color w:val="56585B"/>
                <w:sz w:val="20"/>
                <w:szCs w:val="18"/>
              </w:rPr>
              <w:t>03</w:t>
            </w:r>
            <w:r w:rsidRPr="004B1C13">
              <w:rPr>
                <w:b w:val="0"/>
                <w:bCs/>
                <w:color w:val="56585B"/>
                <w:sz w:val="20"/>
                <w:szCs w:val="18"/>
              </w:rPr>
              <w:t>/</w:t>
            </w:r>
            <w:r w:rsidR="00171E54">
              <w:rPr>
                <w:b w:val="0"/>
                <w:bCs/>
                <w:color w:val="56585B"/>
                <w:sz w:val="20"/>
                <w:szCs w:val="18"/>
              </w:rPr>
              <w:t>2024</w:t>
            </w:r>
            <w:r w:rsidRPr="004B1C13">
              <w:rPr>
                <w:b w:val="0"/>
                <w:bCs/>
                <w:color w:val="56585B"/>
                <w:sz w:val="20"/>
                <w:szCs w:val="18"/>
              </w:rPr>
              <w:t xml:space="preserve"> to </w:t>
            </w:r>
            <w:r w:rsidR="00171E54">
              <w:rPr>
                <w:b w:val="0"/>
                <w:bCs/>
                <w:color w:val="56585B"/>
                <w:sz w:val="20"/>
                <w:szCs w:val="18"/>
              </w:rPr>
              <w:t>04</w:t>
            </w:r>
            <w:r w:rsidRPr="004B1C13">
              <w:rPr>
                <w:b w:val="0"/>
                <w:bCs/>
                <w:color w:val="56585B"/>
                <w:sz w:val="20"/>
                <w:szCs w:val="18"/>
              </w:rPr>
              <w:t>/</w:t>
            </w:r>
            <w:r w:rsidR="00171E54">
              <w:rPr>
                <w:b w:val="0"/>
                <w:bCs/>
                <w:color w:val="56585B"/>
                <w:sz w:val="20"/>
                <w:szCs w:val="18"/>
              </w:rPr>
              <w:t>03</w:t>
            </w:r>
            <w:r w:rsidRPr="004B1C13">
              <w:rPr>
                <w:b w:val="0"/>
                <w:bCs/>
                <w:color w:val="56585B"/>
                <w:sz w:val="20"/>
                <w:szCs w:val="18"/>
              </w:rPr>
              <w:t>/</w:t>
            </w:r>
            <w:r w:rsidR="00171E54">
              <w:rPr>
                <w:b w:val="0"/>
                <w:bCs/>
                <w:color w:val="56585B"/>
                <w:sz w:val="20"/>
                <w:szCs w:val="18"/>
              </w:rPr>
              <w:t>2024</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71FAEE40" w14:textId="77777777" w:rsidR="00AB4DA5" w:rsidRDefault="00855770" w:rsidP="00AB4DA5">
            <w:pPr>
              <w:spacing w:before="120"/>
              <w:rPr>
                <w:shd w:val="clear" w:color="auto" w:fill="C5C5BD" w:themeFill="background2"/>
              </w:rPr>
            </w:pPr>
            <w:r w:rsidRPr="00AB7D5B">
              <w:rPr>
                <w:i/>
                <w:iCs/>
              </w:rPr>
              <w:t>(max.</w:t>
            </w:r>
            <w:r>
              <w:rPr>
                <w:i/>
                <w:iCs/>
              </w:rPr>
              <w:t xml:space="preserve"> </w:t>
            </w:r>
            <w:r w:rsidRPr="00AB7D5B">
              <w:rPr>
                <w:i/>
                <w:iCs/>
              </w:rPr>
              <w:t xml:space="preserve">500 words) </w:t>
            </w:r>
          </w:p>
          <w:p w14:paraId="749A805A" w14:textId="0724E05B" w:rsidR="001E67E7" w:rsidRDefault="0016690F" w:rsidP="00CE58C0">
            <w:pPr>
              <w:spacing w:before="120"/>
              <w:rPr>
                <w:iCs/>
              </w:rPr>
            </w:pPr>
            <w:r>
              <w:rPr>
                <w:iCs/>
              </w:rPr>
              <w:t xml:space="preserve">The </w:t>
            </w:r>
            <w:r w:rsidR="00CA7114">
              <w:rPr>
                <w:iCs/>
              </w:rPr>
              <w:t>objectives of the STSM were to perform a</w:t>
            </w:r>
            <w:r w:rsidR="00171E54">
              <w:rPr>
                <w:iCs/>
              </w:rPr>
              <w:t xml:space="preserve"> literature review, decide on a test case for computations and following this do the computations. </w:t>
            </w:r>
            <w:r w:rsidR="00CA7114">
              <w:rPr>
                <w:iCs/>
              </w:rPr>
              <w:t>However, as metric graphs were a new topic for the applicant, so the host spent time introducing the topic to the applicant and getting her up to speed. To this end, knowledge transfer filled the majority of the STSM. However, in light of this,</w:t>
            </w:r>
            <w:r w:rsidR="00AB4DA5">
              <w:rPr>
                <w:iCs/>
              </w:rPr>
              <w:t xml:space="preserve"> the first two objectives were completed during the STSM</w:t>
            </w:r>
            <w:r w:rsidR="00CA7114">
              <w:rPr>
                <w:iCs/>
              </w:rPr>
              <w:t xml:space="preserve">. </w:t>
            </w:r>
            <w:r w:rsidR="00AB4DA5">
              <w:rPr>
                <w:iCs/>
              </w:rPr>
              <w:t xml:space="preserve">The computations will be done </w:t>
            </w:r>
            <w:r w:rsidR="001E67E7">
              <w:rPr>
                <w:iCs/>
              </w:rPr>
              <w:t>at a later point and will be outlined in the planned activities</w:t>
            </w:r>
            <w:r w:rsidR="00CE58C0">
              <w:rPr>
                <w:iCs/>
              </w:rPr>
              <w:t xml:space="preserve">. </w:t>
            </w:r>
          </w:p>
          <w:p w14:paraId="524337A3" w14:textId="01510D11" w:rsidR="00F11073" w:rsidRDefault="00CE58C0" w:rsidP="00CE58C0">
            <w:pPr>
              <w:spacing w:before="120"/>
              <w:rPr>
                <w:rFonts w:eastAsiaTheme="minorEastAsia"/>
                <w:iCs/>
              </w:rPr>
            </w:pPr>
            <w:r>
              <w:rPr>
                <w:iCs/>
              </w:rPr>
              <w:t xml:space="preserve">In the </w:t>
            </w:r>
            <w:r w:rsidR="0016690F">
              <w:rPr>
                <w:iCs/>
              </w:rPr>
              <w:t xml:space="preserve">original </w:t>
            </w:r>
            <w:r>
              <w:rPr>
                <w:iCs/>
              </w:rPr>
              <w:t xml:space="preserve">application, we considered a Laplacian with an additional drift term on </w:t>
            </w:r>
            <m:oMath>
              <m:sSup>
                <m:sSupPr>
                  <m:ctrlPr>
                    <w:rPr>
                      <w:rFonts w:ascii="Cambria Math" w:hAnsi="Cambria Math"/>
                      <w:i/>
                      <w:iCs/>
                    </w:rPr>
                  </m:ctrlPr>
                </m:sSupPr>
                <m:e>
                  <m:r>
                    <w:rPr>
                      <w:rFonts w:ascii="Cambria Math" w:hAnsi="Cambria Math"/>
                    </w:rPr>
                    <m:t>L</m:t>
                  </m:r>
                </m:e>
                <m:sup>
                  <m:r>
                    <w:rPr>
                      <w:rFonts w:ascii="Cambria Math" w:hAnsi="Cambria Math"/>
                    </w:rPr>
                    <m:t>2</m:t>
                  </m:r>
                </m:sup>
              </m:sSup>
              <m:r>
                <m:rPr>
                  <m:scr m:val="double-struck"/>
                </m:rPr>
                <w:rPr>
                  <w:rFonts w:ascii="Cambria Math" w:hAnsi="Cambria Math"/>
                </w:rPr>
                <m:t>(R)</m:t>
              </m:r>
            </m:oMath>
            <w:r>
              <w:rPr>
                <w:rFonts w:eastAsiaTheme="minorEastAsia"/>
                <w:iCs/>
              </w:rPr>
              <w:t xml:space="preserve">, which gave rise a quasi-basis structure that allowed us to say the spectrum was similar to a self-adjoint operator providing we placed addition assumptions on the domain on the domain of the original problem. In the context of the literature, we decided to focus on </w:t>
            </w:r>
            <w:r w:rsidR="00CA7114">
              <w:rPr>
                <w:rFonts w:eastAsiaTheme="minorEastAsia"/>
                <w:iCs/>
              </w:rPr>
              <w:t>non-self-adjointness via the boundary conditions on the Laplacian instead of via a drift term. I</w:t>
            </w:r>
            <w:r w:rsidR="00F11073">
              <w:rPr>
                <w:rFonts w:eastAsiaTheme="minorEastAsia"/>
                <w:iCs/>
              </w:rPr>
              <w:t xml:space="preserve">n this way, we are aligned with the literature on non-self-adjoint metric graphs that can be found in the references; “Non-self-adjoint Graphs” Hussein et al. 2013, and “Hidden Symmetries in Non-self-adjoint Graphs” Hussein et al. 2013. </w:t>
            </w:r>
          </w:p>
          <w:p w14:paraId="4452C0A7" w14:textId="76D22A02" w:rsidR="00F11073" w:rsidRDefault="00060B49" w:rsidP="00CE58C0">
            <w:pPr>
              <w:spacing w:before="120"/>
              <w:rPr>
                <w:rFonts w:eastAsiaTheme="minorEastAsia"/>
                <w:iCs/>
              </w:rPr>
            </w:pPr>
            <w:r>
              <w:rPr>
                <w:rFonts w:eastAsiaTheme="minorEastAsia"/>
                <w:iCs/>
              </w:rPr>
              <w:t xml:space="preserve">During on the STSM, we reconsidered the </w:t>
            </w:r>
            <w:r w:rsidR="00F11073">
              <w:rPr>
                <w:rFonts w:eastAsiaTheme="minorEastAsia"/>
                <w:iCs/>
              </w:rPr>
              <w:t>following test case</w:t>
            </w:r>
            <w:r w:rsidR="00477000">
              <w:rPr>
                <w:rFonts w:eastAsiaTheme="minorEastAsia"/>
                <w:iCs/>
              </w:rPr>
              <w:t xml:space="preserve"> that can be found in “Non-self-adjoint Graphs”, let </w:t>
            </w:r>
            <m:oMath>
              <m:r>
                <w:rPr>
                  <w:rFonts w:ascii="Cambria Math" w:eastAsiaTheme="minorEastAsia" w:hAnsi="Cambria Math"/>
                </w:rPr>
                <m:t>G=(V, ∂, E)</m:t>
              </m:r>
            </m:oMath>
            <w:r w:rsidR="00477000">
              <w:rPr>
                <w:rFonts w:eastAsiaTheme="minorEastAsia"/>
                <w:iCs/>
              </w:rPr>
              <w:t xml:space="preserve"> be a graph consisting of two external edges </w:t>
            </w:r>
            <m:oMath>
              <m:r>
                <w:rPr>
                  <w:rFonts w:ascii="Cambria Math" w:eastAsiaTheme="minorEastAsia" w:hAnsi="Cambria Math"/>
                </w:rPr>
                <m:t xml:space="preserve">E= </m:t>
              </m:r>
              <m:r>
                <m:rPr>
                  <m:lit/>
                </m:rPr>
                <w:rPr>
                  <w:rFonts w:ascii="Cambria Math" w:eastAsiaTheme="minorEastAsia" w:hAnsi="Cambria Math"/>
                </w:rPr>
                <m:t>{</m:t>
              </m:r>
              <m:r>
                <w:rPr>
                  <w:rFonts w:ascii="Cambria Math" w:eastAsiaTheme="minorEastAsia" w:hAnsi="Cambria Math"/>
                </w:rPr>
                <m:t xml:space="preserve"> </m:t>
              </m:r>
              <m:sSub>
                <m:sSubPr>
                  <m:ctrlPr>
                    <w:rPr>
                      <w:rFonts w:ascii="Cambria Math" w:eastAsiaTheme="minorEastAsia" w:hAnsi="Cambria Math"/>
                      <w:i/>
                      <w:iCs/>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iCs/>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m:t>
              </m:r>
            </m:oMath>
            <w:r w:rsidR="00477000">
              <w:rPr>
                <w:rFonts w:eastAsiaTheme="minorEastAsia"/>
                <w:iCs/>
              </w:rPr>
              <w:t xml:space="preserve"> and one vertex </w:t>
            </w:r>
            <m:oMath>
              <m:r>
                <w:rPr>
                  <w:rFonts w:ascii="Cambria Math" w:eastAsiaTheme="minorEastAsia" w:hAnsi="Cambria Math"/>
                </w:rPr>
                <m: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e</m:t>
                      </m:r>
                    </m:e>
                    <m:sub>
                      <m:r>
                        <w:rPr>
                          <w:rFonts w:ascii="Cambria Math" w:eastAsiaTheme="minorEastAsia" w:hAnsi="Cambria Math"/>
                        </w:rPr>
                        <m:t>1</m:t>
                      </m:r>
                    </m:sub>
                  </m:sSub>
                </m:e>
              </m:d>
              <m:r>
                <w:rPr>
                  <w:rFonts w:ascii="Cambria Math" w:eastAsiaTheme="minorEastAsia" w:hAnsi="Cambria Math"/>
                </w:rPr>
                <m: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e</m:t>
                      </m:r>
                    </m:e>
                    <m:sub>
                      <m:r>
                        <w:rPr>
                          <w:rFonts w:ascii="Cambria Math" w:eastAsiaTheme="minorEastAsia" w:hAnsi="Cambria Math"/>
                        </w:rPr>
                        <m:t>2</m:t>
                      </m:r>
                    </m:sub>
                  </m:sSub>
                </m:e>
              </m:d>
            </m:oMath>
            <w:r w:rsidR="00477000">
              <w:rPr>
                <w:rFonts w:eastAsiaTheme="minorEastAsia"/>
                <w:iCs/>
              </w:rPr>
              <w:t xml:space="preserve">. Identifying the graph with the real line and the vertex with zero, we consider the following boundary conditions </w:t>
            </w:r>
          </w:p>
          <w:p w14:paraId="319D0BF6" w14:textId="77777777" w:rsidR="00477000" w:rsidRDefault="00477000" w:rsidP="00477000">
            <w:pPr>
              <w:spacing w:before="120"/>
              <w:jc w:val="center"/>
              <w:rPr>
                <w:rFonts w:eastAsiaTheme="minorEastAsia"/>
                <w:iCs/>
              </w:rPr>
            </w:pPr>
            <m:oMath>
              <m:r>
                <w:rPr>
                  <w:rFonts w:ascii="Cambria Math" w:eastAsiaTheme="minorEastAsia" w:hAnsi="Cambria Math"/>
                </w:rPr>
                <w:lastRenderedPageBreak/>
                <m:t>ψ</m:t>
              </m:r>
              <m:d>
                <m:dPr>
                  <m:ctrlPr>
                    <w:rPr>
                      <w:rFonts w:ascii="Cambria Math" w:eastAsiaTheme="minorEastAsia" w:hAnsi="Cambria Math"/>
                      <w:i/>
                      <w:iCs/>
                    </w:rPr>
                  </m:ctrlPr>
                </m:dPr>
                <m:e>
                  <m:r>
                    <w:rPr>
                      <w:rFonts w:ascii="Cambria Math" w:eastAsiaTheme="minorEastAsia" w:hAnsi="Cambria Math"/>
                    </w:rPr>
                    <m:t>0+</m:t>
                  </m:r>
                </m:e>
              </m:d>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iτ</m:t>
                  </m:r>
                </m:sup>
              </m:sSup>
              <m:r>
                <w:rPr>
                  <w:rFonts w:ascii="Cambria Math" w:eastAsiaTheme="minorEastAsia" w:hAnsi="Cambria Math"/>
                </w:rPr>
                <m:t>ψ(0-)</m:t>
              </m:r>
            </m:oMath>
            <w:r>
              <w:rPr>
                <w:rFonts w:eastAsiaTheme="minorEastAsia"/>
                <w:iCs/>
              </w:rPr>
              <w:t xml:space="preserve"> and </w:t>
            </w:r>
            <m:oMath>
              <m:r>
                <w:rPr>
                  <w:rFonts w:ascii="Cambria Math" w:eastAsiaTheme="minorEastAsia" w:hAnsi="Cambria Math"/>
                </w:rPr>
                <m:t>ψ'</m:t>
              </m:r>
              <m:d>
                <m:dPr>
                  <m:ctrlPr>
                    <w:rPr>
                      <w:rFonts w:ascii="Cambria Math" w:eastAsiaTheme="minorEastAsia" w:hAnsi="Cambria Math"/>
                      <w:i/>
                      <w:iCs/>
                    </w:rPr>
                  </m:ctrlPr>
                </m:dPr>
                <m:e>
                  <m:r>
                    <w:rPr>
                      <w:rFonts w:ascii="Cambria Math" w:eastAsiaTheme="minorEastAsia" w:hAnsi="Cambria Math"/>
                    </w:rPr>
                    <m:t>0+</m:t>
                  </m:r>
                </m:e>
              </m:d>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-iτ</m:t>
                  </m:r>
                </m:sup>
              </m:sSup>
              <m:r>
                <w:rPr>
                  <w:rFonts w:ascii="Cambria Math" w:eastAsiaTheme="minorEastAsia" w:hAnsi="Cambria Math"/>
                </w:rPr>
                <m:t>ψ'(0-)</m:t>
              </m:r>
            </m:oMath>
            <w:r>
              <w:rPr>
                <w:rFonts w:eastAsiaTheme="minorEastAsia"/>
                <w:iCs/>
              </w:rPr>
              <w:t xml:space="preserve">. </w:t>
            </w:r>
          </w:p>
          <w:p w14:paraId="43DD2F60" w14:textId="77777777" w:rsidR="00477000" w:rsidRDefault="00477000" w:rsidP="00477000">
            <w:pPr>
              <w:spacing w:before="120"/>
              <w:rPr>
                <w:rFonts w:eastAsiaTheme="minorEastAsia"/>
                <w:iCs/>
              </w:rPr>
            </w:pPr>
            <w:r>
              <w:rPr>
                <w:rFonts w:eastAsiaTheme="minorEastAsia"/>
                <w:iCs/>
              </w:rPr>
              <w:t xml:space="preserve">This operator is interesting because it is similar to the self-adjoint Laplacian via the similarity transformation </w:t>
            </w:r>
          </w:p>
          <w:p w14:paraId="029D39DF" w14:textId="77777777" w:rsidR="00477000" w:rsidRDefault="00BC57C5" w:rsidP="00477000">
            <w:pPr>
              <w:spacing w:before="120"/>
              <w:jc w:val="center"/>
              <w:rPr>
                <w:rFonts w:eastAsiaTheme="minorEastAsia"/>
                <w:iCs/>
              </w:rPr>
            </w:pPr>
            <m:oMath>
              <m:sSub>
                <m:sSubPr>
                  <m:ctrlPr>
                    <w:rPr>
                      <w:rFonts w:ascii="Cambria Math" w:eastAsiaTheme="minorEastAsia" w:hAnsi="Cambria Math"/>
                      <w:i/>
                      <w:iCs/>
                    </w:rPr>
                  </m:ctrlPr>
                </m:sSubPr>
                <m:e>
                  <m:r>
                    <m:rPr>
                      <m:sty m:val="p"/>
                    </m:rPr>
                    <w:rPr>
                      <w:rFonts w:ascii="Cambria Math" w:eastAsiaTheme="minorEastAsia" w:hAnsi="Cambria Math"/>
                    </w:rPr>
                    <m:t>Δ</m:t>
                  </m:r>
                  <m:ctrlPr>
                    <w:rPr>
                      <w:rFonts w:ascii="Cambria Math" w:eastAsiaTheme="minorEastAsia" w:hAnsi="Cambria Math"/>
                      <w:iCs/>
                    </w:rPr>
                  </m:ctrlP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iCs/>
                    </w:rPr>
                  </m:ctrlPr>
                </m:sSupPr>
                <m:e>
                  <m:r>
                    <m:rPr>
                      <m:sty m:val="p"/>
                    </m:rPr>
                    <w:rPr>
                      <w:rFonts w:ascii="Cambria Math" w:eastAsiaTheme="minorEastAsia" w:hAnsi="Cambria Math"/>
                    </w:rPr>
                    <m:t>Φ</m:t>
                  </m:r>
                  <m:ctrlPr>
                    <w:rPr>
                      <w:rFonts w:ascii="Cambria Math" w:eastAsiaTheme="minorEastAsia" w:hAnsi="Cambria Math"/>
                      <w:iCs/>
                    </w:rPr>
                  </m:ctrlPr>
                </m:e>
                <m:sup>
                  <m:r>
                    <w:rPr>
                      <w:rFonts w:ascii="Cambria Math" w:eastAsiaTheme="minorEastAsia" w:hAnsi="Cambria Math"/>
                    </w:rPr>
                    <m:t>-1</m:t>
                  </m:r>
                </m:sup>
              </m:sSup>
              <m:r>
                <w:rPr>
                  <w:rFonts w:ascii="Cambria Math" w:eastAsiaTheme="minorEastAsia" w:hAnsi="Cambria Math"/>
                </w:rPr>
                <m:t xml:space="preserve"> </m:t>
              </m:r>
              <m:sSub>
                <m:sSubPr>
                  <m:ctrlPr>
                    <w:rPr>
                      <w:rFonts w:ascii="Cambria Math" w:eastAsiaTheme="minorEastAsia" w:hAnsi="Cambria Math"/>
                      <w:i/>
                      <w:iCs/>
                    </w:rPr>
                  </m:ctrlPr>
                </m:sSubPr>
                <m:e>
                  <m:r>
                    <m:rPr>
                      <m:sty m:val="p"/>
                    </m:rPr>
                    <w:rPr>
                      <w:rFonts w:ascii="Cambria Math" w:eastAsiaTheme="minorEastAsia" w:hAnsi="Cambria Math"/>
                    </w:rPr>
                    <m:t>Δ</m:t>
                  </m:r>
                </m:e>
                <m:sub>
                  <m:r>
                    <w:rPr>
                      <w:rFonts w:ascii="Cambria Math" w:eastAsiaTheme="minorEastAsia" w:hAnsi="Cambria Math"/>
                    </w:rPr>
                    <m:t>τ</m:t>
                  </m:r>
                </m:sub>
              </m:sSub>
              <m:r>
                <w:rPr>
                  <w:rFonts w:ascii="Cambria Math" w:eastAsiaTheme="minorEastAsia" w:hAnsi="Cambria Math"/>
                </w:rPr>
                <m:t xml:space="preserve"> </m:t>
              </m:r>
              <m:r>
                <m:rPr>
                  <m:sty m:val="p"/>
                </m:rPr>
                <w:rPr>
                  <w:rFonts w:ascii="Cambria Math" w:eastAsiaTheme="minorEastAsia" w:hAnsi="Cambria Math"/>
                </w:rPr>
                <m:t>Φ</m:t>
              </m:r>
            </m:oMath>
            <w:r w:rsidR="00477000">
              <w:rPr>
                <w:rFonts w:eastAsiaTheme="minorEastAsia"/>
                <w:iCs/>
              </w:rPr>
              <w:t xml:space="preserve">, </w:t>
            </w:r>
          </w:p>
          <w:p w14:paraId="4C7702E7" w14:textId="77777777" w:rsidR="00060B49" w:rsidRDefault="00060B49" w:rsidP="00060B49">
            <w:pPr>
              <w:spacing w:before="120"/>
              <w:rPr>
                <w:rFonts w:eastAsiaTheme="minorEastAsia"/>
                <w:iCs/>
              </w:rPr>
            </w:pPr>
            <w:r>
              <w:rPr>
                <w:rFonts w:eastAsiaTheme="minorEastAsia"/>
                <w:iCs/>
              </w:rPr>
              <w:t xml:space="preserve">where the exact form </w:t>
            </w:r>
            <m:oMath>
              <m:r>
                <m:rPr>
                  <m:sty m:val="p"/>
                </m:rPr>
                <w:rPr>
                  <w:rFonts w:ascii="Cambria Math" w:eastAsiaTheme="minorEastAsia" w:hAnsi="Cambria Math"/>
                </w:rPr>
                <m:t>Φ</m:t>
              </m:r>
            </m:oMath>
            <w:r>
              <w:rPr>
                <w:rFonts w:eastAsiaTheme="minorEastAsia"/>
                <w:iCs/>
              </w:rPr>
              <w:t xml:space="preserve"> can be found in the article. </w:t>
            </w:r>
          </w:p>
          <w:p w14:paraId="36D168E2" w14:textId="283C476B" w:rsidR="00060B49" w:rsidRPr="00CA7114" w:rsidRDefault="00060B49" w:rsidP="00060B49">
            <w:pPr>
              <w:spacing w:before="120"/>
              <w:rPr>
                <w:rFonts w:eastAsiaTheme="minorEastAsia"/>
                <w:iCs/>
              </w:rPr>
            </w:pPr>
            <w:r>
              <w:rPr>
                <w:rFonts w:eastAsiaTheme="minorEastAsia"/>
                <w:iCs/>
              </w:rPr>
              <w:t xml:space="preserve">To </w:t>
            </w:r>
            <w:r w:rsidR="00FF45B2">
              <w:rPr>
                <w:rFonts w:eastAsiaTheme="minorEastAsia"/>
                <w:iCs/>
              </w:rPr>
              <w:t>see where the synergy is between these kinds of transforms and the transforms found in “</w:t>
            </w:r>
            <w:r w:rsidR="00FF45B2" w:rsidRPr="00FF45B2">
              <w:rPr>
                <w:rFonts w:eastAsiaTheme="minorEastAsia"/>
                <w:i/>
                <w:iCs/>
              </w:rPr>
              <w:t>Partial inner product spaces: theory and applications</w:t>
            </w:r>
            <w:r w:rsidR="00D76775">
              <w:rPr>
                <w:rFonts w:eastAsiaTheme="minorEastAsia"/>
                <w:i/>
                <w:iCs/>
              </w:rPr>
              <w:t>,”</w:t>
            </w:r>
            <w:r w:rsidR="00FF45B2">
              <w:rPr>
                <w:rFonts w:eastAsiaTheme="minorEastAsia"/>
                <w:i/>
                <w:iCs/>
              </w:rPr>
              <w:t xml:space="preserve"> </w:t>
            </w:r>
            <w:r w:rsidR="00FF45B2" w:rsidRPr="00FF45B2">
              <w:rPr>
                <w:rFonts w:eastAsiaTheme="minorEastAsia"/>
                <w:iCs/>
              </w:rPr>
              <w:t>Antoine an</w:t>
            </w:r>
            <w:r w:rsidR="00FF45B2">
              <w:rPr>
                <w:rFonts w:eastAsiaTheme="minorEastAsia"/>
                <w:iCs/>
              </w:rPr>
              <w:t>d</w:t>
            </w:r>
            <w:r w:rsidR="00FF45B2" w:rsidRPr="00FF45B2">
              <w:rPr>
                <w:rFonts w:eastAsiaTheme="minorEastAsia"/>
                <w:iCs/>
              </w:rPr>
              <w:t xml:space="preserve"> Trapani</w:t>
            </w:r>
            <w:r w:rsidR="00FF45B2">
              <w:rPr>
                <w:rFonts w:eastAsiaTheme="minorEastAsia"/>
                <w:iCs/>
              </w:rPr>
              <w:t xml:space="preserve"> </w:t>
            </w:r>
            <w:r w:rsidR="00FF45B2" w:rsidRPr="00FF45B2">
              <w:rPr>
                <w:rFonts w:eastAsiaTheme="minorEastAsia"/>
                <w:iCs/>
              </w:rPr>
              <w:t>2009</w:t>
            </w:r>
            <w:r w:rsidR="00FF45B2">
              <w:rPr>
                <w:rFonts w:eastAsiaTheme="minorEastAsia"/>
                <w:iCs/>
              </w:rPr>
              <w:t>, we have to consider what these transformations would be in the context of a lattice of Hilbert Space</w:t>
            </w:r>
            <w:r w:rsidR="0016690F">
              <w:rPr>
                <w:rFonts w:eastAsiaTheme="minorEastAsia"/>
                <w:iCs/>
              </w:rPr>
              <w:t xml:space="preserve">s. The lattice of Hilbert Spaces that is motivated by the drift term has </w:t>
            </w:r>
            <w:r w:rsidR="00D76775">
              <w:rPr>
                <w:rFonts w:eastAsiaTheme="minorEastAsia"/>
                <w:iCs/>
              </w:rPr>
              <w:t>consistent</w:t>
            </w:r>
            <w:r w:rsidR="0016690F">
              <w:rPr>
                <w:rFonts w:eastAsiaTheme="minorEastAsia"/>
                <w:iCs/>
              </w:rPr>
              <w:t xml:space="preserve"> boundary conditions across the first half of the lattice, but the resulting lattice may be intriguing and particular than this. </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6B8E03E6" w14:textId="3633DB7B" w:rsidR="00CA7114"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54BC7E7D" w14:textId="77777777" w:rsidR="00855770" w:rsidRDefault="00855770" w:rsidP="00AB307A">
            <w:pPr>
              <w:spacing w:before="120"/>
              <w:rPr>
                <w:i/>
                <w:iCs/>
              </w:rPr>
            </w:pPr>
            <w:r w:rsidRPr="00AB7D5B">
              <w:rPr>
                <w:i/>
                <w:iCs/>
              </w:rPr>
              <w:t>(max.</w:t>
            </w:r>
            <w:r>
              <w:rPr>
                <w:i/>
                <w:iCs/>
              </w:rPr>
              <w:t xml:space="preserve"> </w:t>
            </w:r>
            <w:r w:rsidRPr="00AB7D5B">
              <w:rPr>
                <w:i/>
                <w:iCs/>
              </w:rPr>
              <w:t xml:space="preserve">500 words) </w:t>
            </w:r>
          </w:p>
          <w:p w14:paraId="136A1E05" w14:textId="558FF7C8" w:rsidR="00EC0C53" w:rsidRDefault="00605E6F" w:rsidP="00EC0C53">
            <w:r>
              <w:t>The achievements of the STSM were outlined in the last section</w:t>
            </w:r>
            <w:r w:rsidR="000C0453">
              <w:t xml:space="preserve"> in the description of the work carried out</w:t>
            </w:r>
            <w:r w:rsidR="00426D5B">
              <w:t xml:space="preserve">. </w:t>
            </w:r>
            <w:r w:rsidR="000C0453">
              <w:t>In the applicant’s opinion, t</w:t>
            </w:r>
            <w:r w:rsidR="00426D5B">
              <w:t xml:space="preserve">he most important achievement was knowledge transfer between the applicant, which has laid the foundation for an exciting future project that is interconnected with the project in the applicant’s previous STSMs. </w:t>
            </w:r>
          </w:p>
          <w:p w14:paraId="110CB4A1" w14:textId="0CA61A34" w:rsidR="00EC0C53" w:rsidRDefault="00426D5B" w:rsidP="00EC0C53">
            <w:pPr>
              <w:rPr>
                <w:bCs/>
              </w:rPr>
            </w:pPr>
            <w:r>
              <w:t xml:space="preserve">However, </w:t>
            </w:r>
            <w:r w:rsidR="00EC0C53">
              <w:t xml:space="preserve">as outlined in the above section, </w:t>
            </w:r>
            <w:r>
              <w:t>wh</w:t>
            </w:r>
            <w:r w:rsidR="00605E6F">
              <w:t xml:space="preserve">at is </w:t>
            </w:r>
            <w:r>
              <w:t xml:space="preserve">missing are the numerical goals that were outlined in the </w:t>
            </w:r>
            <w:r w:rsidR="00EC0C53">
              <w:t xml:space="preserve">original </w:t>
            </w:r>
            <w:r>
              <w:t>application, namely “w</w:t>
            </w:r>
            <w:r w:rsidRPr="00426D5B">
              <w:rPr>
                <w:bCs/>
              </w:rPr>
              <w:t>e will then perform verified spectral pseudospectral computations. Eigenvalue problems on text works often give rise to nonlinear eigenvalue problems. Therefore, it is possible to by using the inf-beyn computations also</w:t>
            </w:r>
            <w:r w:rsidR="00D76775">
              <w:rPr>
                <w:bCs/>
              </w:rPr>
              <w:t>.”</w:t>
            </w:r>
            <w:r>
              <w:rPr>
                <w:bCs/>
              </w:rPr>
              <w:t xml:space="preserve"> We have not necessarily done the theoretical work to get to the point of doing spectral computations yet, but we have put a working pl</w:t>
            </w:r>
            <w:r w:rsidR="008876DB">
              <w:rPr>
                <w:bCs/>
              </w:rPr>
              <w:t>an</w:t>
            </w:r>
            <w:r>
              <w:rPr>
                <w:bCs/>
              </w:rPr>
              <w:t xml:space="preserve"> in place that includes </w:t>
            </w:r>
            <w:r w:rsidR="008876DB">
              <w:rPr>
                <w:bCs/>
              </w:rPr>
              <w:t>regular</w:t>
            </w:r>
            <w:r>
              <w:rPr>
                <w:bCs/>
              </w:rPr>
              <w:t xml:space="preserve"> meetings between the host and the applicant</w:t>
            </w:r>
            <w:r w:rsidR="008876DB">
              <w:rPr>
                <w:bCs/>
              </w:rPr>
              <w:t>. The jobs that will be done for</w:t>
            </w:r>
            <w:r w:rsidR="00EC0C53">
              <w:rPr>
                <w:bCs/>
              </w:rPr>
              <w:t xml:space="preserve"> review in these online meeting will be the completion of literature review and the generation of the lattice, following this we will do appropriate computations. The follow up activities will </w:t>
            </w:r>
            <w:r w:rsidR="000C0453">
              <w:rPr>
                <w:bCs/>
              </w:rPr>
              <w:t>be directed towards a</w:t>
            </w:r>
            <w:r w:rsidR="00EC0C53">
              <w:rPr>
                <w:bCs/>
              </w:rPr>
              <w:t xml:space="preserve"> publication in an appropriate journal and conferences. </w:t>
            </w:r>
          </w:p>
          <w:p w14:paraId="79965B1A" w14:textId="0B16E165" w:rsidR="000A6ABD" w:rsidRPr="00EC0C53" w:rsidRDefault="00EC0C53" w:rsidP="00EC0C53">
            <w:pPr>
              <w:rPr>
                <w:bCs/>
              </w:rPr>
            </w:pPr>
            <w:r>
              <w:rPr>
                <w:bCs/>
              </w:rPr>
              <w:t>We have also facilitated upcoming work by the host’s securing of additional funds for the applicant to revisit Hagen</w:t>
            </w:r>
            <w:r w:rsidR="000C0453">
              <w:rPr>
                <w:bCs/>
              </w:rPr>
              <w:t xml:space="preserve">. Additionally, we have secured a virtual mobility grant via the cost action as part of a larger project, of which the applicant and host are a part, looking at perturbations of brain networks. We believe that we can </w:t>
            </w:r>
            <w:r w:rsidR="00D76775">
              <w:rPr>
                <w:bCs/>
              </w:rPr>
              <w:t>apply</w:t>
            </w:r>
            <w:r w:rsidR="000C0453">
              <w:rPr>
                <w:bCs/>
              </w:rPr>
              <w:t xml:space="preserve"> some of these ideas discussed in this STSM, such as representing changes to boundary conditions via perturbations to be applied to this project.</w:t>
            </w:r>
          </w:p>
        </w:tc>
      </w:tr>
    </w:tbl>
    <w:p w14:paraId="1E3BB603" w14:textId="09B92752" w:rsidR="005146D6" w:rsidRPr="00D940F7" w:rsidRDefault="005146D6" w:rsidP="00D940F7"/>
    <w:sectPr w:rsidR="005146D6" w:rsidRPr="00D940F7" w:rsidSect="009B0902">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F0350" w14:textId="77777777" w:rsidR="009B0902" w:rsidRDefault="009B0902" w:rsidP="00F24F32">
      <w:r>
        <w:separator/>
      </w:r>
    </w:p>
  </w:endnote>
  <w:endnote w:type="continuationSeparator" w:id="0">
    <w:p w14:paraId="2F86A8B8" w14:textId="77777777" w:rsidR="009B0902" w:rsidRDefault="009B0902"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Times New Roman"/>
    <w:panose1 w:val="00000000000000000000"/>
    <w:charset w:val="00"/>
    <w:family w:val="swiss"/>
    <w:notTrueType/>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4C1E2" w14:textId="77777777" w:rsidR="009B0902" w:rsidRDefault="009B0902" w:rsidP="00F24F32">
      <w:r>
        <w:separator/>
      </w:r>
    </w:p>
  </w:footnote>
  <w:footnote w:type="continuationSeparator" w:id="0">
    <w:p w14:paraId="747A6320" w14:textId="77777777" w:rsidR="009B0902" w:rsidRDefault="009B0902"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5pt;height:10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6D4507"/>
    <w:multiLevelType w:val="hybridMultilevel"/>
    <w:tmpl w:val="06A2C1DA"/>
    <w:lvl w:ilvl="0" w:tplc="B5CCF9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67542864">
    <w:abstractNumId w:val="16"/>
  </w:num>
  <w:num w:numId="2" w16cid:durableId="1687898185">
    <w:abstractNumId w:val="24"/>
  </w:num>
  <w:num w:numId="3" w16cid:durableId="391736474">
    <w:abstractNumId w:val="25"/>
  </w:num>
  <w:num w:numId="4" w16cid:durableId="840000710">
    <w:abstractNumId w:val="22"/>
  </w:num>
  <w:num w:numId="5" w16cid:durableId="327439666">
    <w:abstractNumId w:val="11"/>
  </w:num>
  <w:num w:numId="6" w16cid:durableId="327441477">
    <w:abstractNumId w:val="4"/>
  </w:num>
  <w:num w:numId="7" w16cid:durableId="681933073">
    <w:abstractNumId w:val="5"/>
  </w:num>
  <w:num w:numId="8" w16cid:durableId="1319765096">
    <w:abstractNumId w:val="6"/>
  </w:num>
  <w:num w:numId="9" w16cid:durableId="1060834978">
    <w:abstractNumId w:val="7"/>
  </w:num>
  <w:num w:numId="10" w16cid:durableId="3830278">
    <w:abstractNumId w:val="9"/>
  </w:num>
  <w:num w:numId="11" w16cid:durableId="211697953">
    <w:abstractNumId w:val="0"/>
  </w:num>
  <w:num w:numId="12" w16cid:durableId="411245216">
    <w:abstractNumId w:val="1"/>
  </w:num>
  <w:num w:numId="13" w16cid:durableId="202180303">
    <w:abstractNumId w:val="2"/>
  </w:num>
  <w:num w:numId="14" w16cid:durableId="2106223079">
    <w:abstractNumId w:val="3"/>
  </w:num>
  <w:num w:numId="15" w16cid:durableId="1524786881">
    <w:abstractNumId w:val="8"/>
  </w:num>
  <w:num w:numId="16" w16cid:durableId="1250581172">
    <w:abstractNumId w:val="29"/>
  </w:num>
  <w:num w:numId="17" w16cid:durableId="113182637">
    <w:abstractNumId w:val="33"/>
  </w:num>
  <w:num w:numId="18" w16cid:durableId="1698197013">
    <w:abstractNumId w:val="17"/>
  </w:num>
  <w:num w:numId="19" w16cid:durableId="751196318">
    <w:abstractNumId w:val="20"/>
  </w:num>
  <w:num w:numId="20" w16cid:durableId="198128594">
    <w:abstractNumId w:val="10"/>
  </w:num>
  <w:num w:numId="21" w16cid:durableId="218830746">
    <w:abstractNumId w:val="28"/>
  </w:num>
  <w:num w:numId="22" w16cid:durableId="1998416955">
    <w:abstractNumId w:val="23"/>
  </w:num>
  <w:num w:numId="23" w16cid:durableId="1258320519">
    <w:abstractNumId w:val="14"/>
  </w:num>
  <w:num w:numId="24" w16cid:durableId="503208985">
    <w:abstractNumId w:val="31"/>
  </w:num>
  <w:num w:numId="25" w16cid:durableId="1746806016">
    <w:abstractNumId w:val="15"/>
  </w:num>
  <w:num w:numId="26" w16cid:durableId="814100741">
    <w:abstractNumId w:val="32"/>
  </w:num>
  <w:num w:numId="27" w16cid:durableId="565261792">
    <w:abstractNumId w:val="12"/>
  </w:num>
  <w:num w:numId="28" w16cid:durableId="18198777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9728873">
    <w:abstractNumId w:val="13"/>
  </w:num>
  <w:num w:numId="30" w16cid:durableId="1205828174">
    <w:abstractNumId w:val="21"/>
  </w:num>
  <w:num w:numId="31" w16cid:durableId="1647707538">
    <w:abstractNumId w:val="34"/>
  </w:num>
  <w:num w:numId="32" w16cid:durableId="376903675">
    <w:abstractNumId w:val="27"/>
  </w:num>
  <w:num w:numId="33" w16cid:durableId="1274437632">
    <w:abstractNumId w:val="18"/>
  </w:num>
  <w:num w:numId="34" w16cid:durableId="1677002537">
    <w:abstractNumId w:val="30"/>
  </w:num>
  <w:num w:numId="35" w16cid:durableId="1170019821">
    <w:abstractNumId w:val="26"/>
  </w:num>
  <w:num w:numId="36" w16cid:durableId="533351671">
    <w:abstractNumId w:val="30"/>
  </w:num>
  <w:num w:numId="37" w16cid:durableId="284506618">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60B49"/>
    <w:rsid w:val="00071487"/>
    <w:rsid w:val="0008039C"/>
    <w:rsid w:val="000A5EC1"/>
    <w:rsid w:val="000A6ABD"/>
    <w:rsid w:val="000B09FC"/>
    <w:rsid w:val="000C0453"/>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6690F"/>
    <w:rsid w:val="0017113B"/>
    <w:rsid w:val="00171E54"/>
    <w:rsid w:val="00172F75"/>
    <w:rsid w:val="001814CB"/>
    <w:rsid w:val="00181660"/>
    <w:rsid w:val="00196ED6"/>
    <w:rsid w:val="001B3E10"/>
    <w:rsid w:val="001B6D47"/>
    <w:rsid w:val="001C1A5F"/>
    <w:rsid w:val="001C20DF"/>
    <w:rsid w:val="001C2253"/>
    <w:rsid w:val="001C3E87"/>
    <w:rsid w:val="001E51B4"/>
    <w:rsid w:val="001E67E7"/>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26D5B"/>
    <w:rsid w:val="00430C33"/>
    <w:rsid w:val="00434377"/>
    <w:rsid w:val="00435BA4"/>
    <w:rsid w:val="00462342"/>
    <w:rsid w:val="00470DB1"/>
    <w:rsid w:val="00471C1C"/>
    <w:rsid w:val="00477000"/>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05E6F"/>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876DB"/>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0902"/>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B4DA5"/>
    <w:rsid w:val="00AC0D6C"/>
    <w:rsid w:val="00AC1122"/>
    <w:rsid w:val="00AD0CB5"/>
    <w:rsid w:val="00B04551"/>
    <w:rsid w:val="00B050AD"/>
    <w:rsid w:val="00B15198"/>
    <w:rsid w:val="00B258BA"/>
    <w:rsid w:val="00B2635F"/>
    <w:rsid w:val="00B308EA"/>
    <w:rsid w:val="00B35085"/>
    <w:rsid w:val="00B37BC9"/>
    <w:rsid w:val="00B404AB"/>
    <w:rsid w:val="00B4541F"/>
    <w:rsid w:val="00B532A7"/>
    <w:rsid w:val="00B55A59"/>
    <w:rsid w:val="00B64B1E"/>
    <w:rsid w:val="00B82E71"/>
    <w:rsid w:val="00B8414B"/>
    <w:rsid w:val="00B919D5"/>
    <w:rsid w:val="00BA0A3F"/>
    <w:rsid w:val="00BA0EC7"/>
    <w:rsid w:val="00BA2EC0"/>
    <w:rsid w:val="00BB3380"/>
    <w:rsid w:val="00BC57C5"/>
    <w:rsid w:val="00C012BE"/>
    <w:rsid w:val="00C10B3C"/>
    <w:rsid w:val="00C12AD6"/>
    <w:rsid w:val="00C152B0"/>
    <w:rsid w:val="00C26592"/>
    <w:rsid w:val="00C50EAE"/>
    <w:rsid w:val="00C63D6F"/>
    <w:rsid w:val="00C75B36"/>
    <w:rsid w:val="00C76FF9"/>
    <w:rsid w:val="00C810C7"/>
    <w:rsid w:val="00C86BE2"/>
    <w:rsid w:val="00CA7114"/>
    <w:rsid w:val="00CB2878"/>
    <w:rsid w:val="00CE1D0D"/>
    <w:rsid w:val="00CE58C0"/>
    <w:rsid w:val="00CE5DC6"/>
    <w:rsid w:val="00CF5274"/>
    <w:rsid w:val="00D174E9"/>
    <w:rsid w:val="00D30F99"/>
    <w:rsid w:val="00D34140"/>
    <w:rsid w:val="00D36F60"/>
    <w:rsid w:val="00D473F2"/>
    <w:rsid w:val="00D55B62"/>
    <w:rsid w:val="00D7115C"/>
    <w:rsid w:val="00D76775"/>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0C53"/>
    <w:rsid w:val="00EC58EA"/>
    <w:rsid w:val="00ED1804"/>
    <w:rsid w:val="00EE36D1"/>
    <w:rsid w:val="00EE6C68"/>
    <w:rsid w:val="00EF059E"/>
    <w:rsid w:val="00F11073"/>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45B2"/>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619159">
      <w:bodyDiv w:val="1"/>
      <w:marLeft w:val="0"/>
      <w:marRight w:val="0"/>
      <w:marTop w:val="0"/>
      <w:marBottom w:val="0"/>
      <w:divBdr>
        <w:top w:val="none" w:sz="0" w:space="0" w:color="auto"/>
        <w:left w:val="none" w:sz="0" w:space="0" w:color="auto"/>
        <w:bottom w:val="none" w:sz="0" w:space="0" w:color="auto"/>
        <w:right w:val="none" w:sz="0" w:space="0" w:color="auto"/>
      </w:divBdr>
    </w:div>
    <w:div w:id="1154877293">
      <w:bodyDiv w:val="1"/>
      <w:marLeft w:val="0"/>
      <w:marRight w:val="0"/>
      <w:marTop w:val="0"/>
      <w:marBottom w:val="0"/>
      <w:divBdr>
        <w:top w:val="none" w:sz="0" w:space="0" w:color="auto"/>
        <w:left w:val="none" w:sz="0" w:space="0" w:color="auto"/>
        <w:bottom w:val="none" w:sz="0" w:space="0" w:color="auto"/>
        <w:right w:val="none" w:sz="0" w:space="0" w:color="auto"/>
      </w:divBdr>
    </w:div>
    <w:div w:id="1378313394">
      <w:bodyDiv w:val="1"/>
      <w:marLeft w:val="0"/>
      <w:marRight w:val="0"/>
      <w:marTop w:val="0"/>
      <w:marBottom w:val="0"/>
      <w:divBdr>
        <w:top w:val="none" w:sz="0" w:space="0" w:color="auto"/>
        <w:left w:val="none" w:sz="0" w:space="0" w:color="auto"/>
        <w:bottom w:val="none" w:sz="0" w:space="0" w:color="auto"/>
        <w:right w:val="none" w:sz="0" w:space="0" w:color="auto"/>
      </w:divBdr>
    </w:div>
    <w:div w:id="20528014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1</TotalTime>
  <Pages>2</Pages>
  <Words>726</Words>
  <Characters>4144</Characters>
  <Application>Microsoft Office Word</Application>
  <DocSecurity>0</DocSecurity>
  <Lines>34</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Catherine Drysdale (Metabolism and Systems Research)</cp:lastModifiedBy>
  <cp:revision>2</cp:revision>
  <cp:lastPrinted>2016-11-07T11:47:00Z</cp:lastPrinted>
  <dcterms:created xsi:type="dcterms:W3CDTF">2024-04-01T01:44:00Z</dcterms:created>
  <dcterms:modified xsi:type="dcterms:W3CDTF">2024-04-01T01:44:00Z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