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1EE1B7A9" w:rsidR="00855770" w:rsidRPr="008E080D" w:rsidRDefault="00855770" w:rsidP="00855770">
      <w:pPr>
        <w:pStyle w:val="Title2"/>
        <w:spacing w:before="120"/>
        <w:jc w:val="both"/>
        <w:rPr>
          <w:color w:val="56585B"/>
          <w:sz w:val="22"/>
        </w:rPr>
      </w:pPr>
      <w:r w:rsidRPr="008E080D">
        <w:rPr>
          <w:color w:val="56585B"/>
          <w:sz w:val="22"/>
        </w:rPr>
        <w:t xml:space="preserve">Action number: </w:t>
      </w:r>
      <w:r w:rsidR="001069E5">
        <w:rPr>
          <w:color w:val="56585B"/>
          <w:sz w:val="22"/>
        </w:rPr>
        <w:t>CA18232</w:t>
      </w:r>
    </w:p>
    <w:p w14:paraId="55DA1F87" w14:textId="4C37442B"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1069E5">
        <w:rPr>
          <w:color w:val="56585B"/>
          <w:sz w:val="22"/>
        </w:rPr>
        <w:t>Catherine Drysdale</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4F3C1CC5" w14:textId="0651D1A8" w:rsidR="00855770" w:rsidRPr="004B1C13" w:rsidRDefault="00855770" w:rsidP="00AB307A">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1069E5">
              <w:rPr>
                <w:b w:val="0"/>
                <w:bCs/>
                <w:color w:val="56585B"/>
                <w:sz w:val="20"/>
                <w:szCs w:val="18"/>
              </w:rPr>
              <w:t xml:space="preserve"> Computation of Spectra and Data Driven Models for the HPA axis</w:t>
            </w:r>
          </w:p>
          <w:p w14:paraId="5028832A" w14:textId="2116A2E1"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1069E5">
              <w:rPr>
                <w:b w:val="0"/>
                <w:bCs/>
                <w:color w:val="56585B"/>
                <w:sz w:val="20"/>
                <w:szCs w:val="18"/>
              </w:rPr>
              <w:t>15</w:t>
            </w:r>
            <w:r w:rsidRPr="004B1C13">
              <w:rPr>
                <w:b w:val="0"/>
                <w:bCs/>
                <w:color w:val="56585B"/>
                <w:sz w:val="20"/>
                <w:szCs w:val="18"/>
              </w:rPr>
              <w:t>/</w:t>
            </w:r>
            <w:r w:rsidR="001069E5">
              <w:rPr>
                <w:b w:val="0"/>
                <w:bCs/>
                <w:color w:val="56585B"/>
                <w:sz w:val="20"/>
                <w:szCs w:val="18"/>
              </w:rPr>
              <w:t>10/2023</w:t>
            </w:r>
            <w:r w:rsidRPr="004B1C13">
              <w:rPr>
                <w:b w:val="0"/>
                <w:bCs/>
                <w:color w:val="56585B"/>
                <w:sz w:val="20"/>
                <w:szCs w:val="18"/>
              </w:rPr>
              <w:t xml:space="preserve"> to </w:t>
            </w:r>
            <w:r w:rsidR="001069E5">
              <w:rPr>
                <w:b w:val="0"/>
                <w:bCs/>
                <w:color w:val="56585B"/>
                <w:sz w:val="20"/>
                <w:szCs w:val="18"/>
              </w:rPr>
              <w:t>21</w:t>
            </w:r>
            <w:r w:rsidRPr="004B1C13">
              <w:rPr>
                <w:b w:val="0"/>
                <w:bCs/>
                <w:color w:val="56585B"/>
                <w:sz w:val="20"/>
                <w:szCs w:val="18"/>
              </w:rPr>
              <w:t>/</w:t>
            </w:r>
            <w:r w:rsidR="001069E5">
              <w:rPr>
                <w:b w:val="0"/>
                <w:bCs/>
                <w:color w:val="56585B"/>
                <w:sz w:val="20"/>
                <w:szCs w:val="18"/>
              </w:rPr>
              <w:t>10</w:t>
            </w:r>
            <w:r w:rsidRPr="004B1C13">
              <w:rPr>
                <w:b w:val="0"/>
                <w:bCs/>
                <w:color w:val="56585B"/>
                <w:sz w:val="20"/>
                <w:szCs w:val="18"/>
              </w:rPr>
              <w:t>/</w:t>
            </w:r>
            <w:r w:rsidR="001069E5">
              <w:rPr>
                <w:b w:val="0"/>
                <w:bCs/>
                <w:color w:val="56585B"/>
                <w:sz w:val="20"/>
                <w:szCs w:val="18"/>
              </w:rPr>
              <w:t>2023</w:t>
            </w:r>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STSM </w:t>
            </w:r>
          </w:p>
          <w:p w14:paraId="69686C03" w14:textId="77777777" w:rsidR="00855770" w:rsidRPr="00244B76" w:rsidRDefault="00855770" w:rsidP="00AB307A">
            <w:pPr>
              <w:spacing w:before="120"/>
              <w:rPr>
                <w:rFonts w:ascii="ArialMT" w:hAnsi="ArialMT" w:cs="ArialMT"/>
                <w:color w:val="656966"/>
              </w:rPr>
            </w:pPr>
            <w:r>
              <w:rPr>
                <w:rFonts w:ascii="ArialMT" w:eastAsiaTheme="minorEastAsia" w:hAnsi="ArialMT" w:cs="ArialMT"/>
                <w:color w:val="656966"/>
              </w:rPr>
              <w:t xml:space="preserve">Description of the activities carried out during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Any deviations from the initial working plan shall also be described in this section. </w:t>
            </w:r>
          </w:p>
        </w:tc>
      </w:tr>
      <w:tr w:rsidR="00855770" w:rsidRPr="00681CA3" w14:paraId="1AB1820B" w14:textId="77777777" w:rsidTr="00AB307A">
        <w:trPr>
          <w:trHeight w:val="1722"/>
        </w:trPr>
        <w:tc>
          <w:tcPr>
            <w:tcW w:w="9356" w:type="dxa"/>
            <w:tcBorders>
              <w:top w:val="nil"/>
              <w:bottom w:val="single" w:sz="4" w:space="0" w:color="auto"/>
            </w:tcBorders>
          </w:tcPr>
          <w:p w14:paraId="5B2D7448" w14:textId="77777777" w:rsidR="00855770" w:rsidRPr="00AB7D5B" w:rsidRDefault="00855770" w:rsidP="00AB307A">
            <w:pPr>
              <w:spacing w:before="120"/>
              <w:rPr>
                <w:i/>
                <w:iCs/>
              </w:rPr>
            </w:pPr>
            <w:r w:rsidRPr="00AB7D5B">
              <w:rPr>
                <w:i/>
                <w:iCs/>
              </w:rPr>
              <w:t>(max.</w:t>
            </w:r>
            <w:r>
              <w:rPr>
                <w:i/>
                <w:iCs/>
              </w:rPr>
              <w:t xml:space="preserve"> </w:t>
            </w:r>
            <w:r w:rsidRPr="00AB7D5B">
              <w:rPr>
                <w:i/>
                <w:iCs/>
              </w:rPr>
              <w:t xml:space="preserve">500 words) </w:t>
            </w:r>
          </w:p>
          <w:p w14:paraId="0A53DF14" w14:textId="27E0D045" w:rsidR="005D631E" w:rsidRPr="005D631E" w:rsidRDefault="001069E5" w:rsidP="005D631E">
            <w:pPr>
              <w:spacing w:before="120"/>
              <w:rPr>
                <w:shd w:val="clear" w:color="auto" w:fill="C5C5BD" w:themeFill="background2"/>
              </w:rPr>
            </w:pPr>
            <w:r>
              <w:rPr>
                <w:shd w:val="clear" w:color="auto" w:fill="C5C5BD" w:themeFill="background2"/>
              </w:rPr>
              <w:t>During the STSM, we determined the pseudospectra</w:t>
            </w:r>
            <w:r w:rsidR="00661335">
              <w:rPr>
                <w:shd w:val="clear" w:color="auto" w:fill="C5C5BD" w:themeFill="background2"/>
              </w:rPr>
              <w:t xml:space="preserve"> by doing DMD for two sets of data</w:t>
            </w:r>
            <w:r w:rsidR="005D631E">
              <w:rPr>
                <w:shd w:val="clear" w:color="auto" w:fill="C5C5BD" w:themeFill="background2"/>
              </w:rPr>
              <w:t xml:space="preserve">. </w:t>
            </w:r>
            <w:r>
              <w:rPr>
                <w:shd w:val="clear" w:color="auto" w:fill="C5C5BD" w:themeFill="background2"/>
              </w:rPr>
              <w:t xml:space="preserve">The first set of data was of 10 patients who underwent heart </w:t>
            </w:r>
            <w:r w:rsidR="00661335">
              <w:rPr>
                <w:shd w:val="clear" w:color="auto" w:fill="C5C5BD" w:themeFill="background2"/>
              </w:rPr>
              <w:t>surgery,</w:t>
            </w:r>
            <w:r>
              <w:rPr>
                <w:shd w:val="clear" w:color="auto" w:fill="C5C5BD" w:themeFill="background2"/>
              </w:rPr>
              <w:t xml:space="preserve"> and the second set of data was from seven healthy participants. The purpose of looking at these two data sets was to really understand the limitations of </w:t>
            </w:r>
            <w:r w:rsidR="00CA571F">
              <w:rPr>
                <w:shd w:val="clear" w:color="auto" w:fill="C5C5BD" w:themeFill="background2"/>
              </w:rPr>
              <w:t>t</w:t>
            </w:r>
            <w:r>
              <w:rPr>
                <w:shd w:val="clear" w:color="auto" w:fill="C5C5BD" w:themeFill="background2"/>
              </w:rPr>
              <w:t>he DMD algorithm, which produces a linear operator that represents the system based on the data.</w:t>
            </w:r>
            <w:r w:rsidR="005D631E">
              <w:rPr>
                <w:shd w:val="clear" w:color="auto" w:fill="C5C5BD" w:themeFill="background2"/>
              </w:rPr>
              <w:t xml:space="preserve"> A brief description of the DMD algorithm is as follows; t</w:t>
            </w:r>
            <w:r w:rsidR="005D631E" w:rsidRPr="005D631E">
              <w:rPr>
                <w:shd w:val="clear" w:color="auto" w:fill="C5C5BD" w:themeFill="background2"/>
              </w:rPr>
              <w:t>ake data in the form of a snapshot sequence;</w:t>
            </w:r>
            <m:oMath>
              <m:sSubSup>
                <m:sSubSupPr>
                  <m:ctrlPr>
                    <w:rPr>
                      <w:rFonts w:ascii="Cambria Math" w:hAnsi="Cambria Math"/>
                      <w:i/>
                      <w:iCs/>
                      <w:shd w:val="clear" w:color="auto" w:fill="C5C5BD" w:themeFill="background2"/>
                    </w:rPr>
                  </m:ctrlPr>
                </m:sSubSupPr>
                <m:e>
                  <m:r>
                    <w:rPr>
                      <w:rFonts w:ascii="Cambria Math" w:hAnsi="Cambria Math"/>
                      <w:shd w:val="clear" w:color="auto" w:fill="C5C5BD" w:themeFill="background2"/>
                    </w:rPr>
                    <m:t>V</m:t>
                  </m:r>
                </m:e>
                <m:sub>
                  <m:r>
                    <w:rPr>
                      <w:rFonts w:ascii="Cambria Math" w:hAnsi="Cambria Math"/>
                      <w:shd w:val="clear" w:color="auto" w:fill="C5C5BD" w:themeFill="background2"/>
                    </w:rPr>
                    <m:t>1</m:t>
                  </m:r>
                </m:sub>
                <m:sup>
                  <m:r>
                    <w:rPr>
                      <w:rFonts w:ascii="Cambria Math" w:hAnsi="Cambria Math"/>
                      <w:shd w:val="clear" w:color="auto" w:fill="C5C5BD" w:themeFill="background2"/>
                    </w:rPr>
                    <m:t>N</m:t>
                  </m:r>
                </m:sup>
              </m:sSubSup>
              <m:r>
                <w:rPr>
                  <w:rFonts w:ascii="Cambria Math" w:hAnsi="Cambria Math"/>
                  <w:shd w:val="clear" w:color="auto" w:fill="C5C5BD" w:themeFill="background2"/>
                </w:rPr>
                <m:t>= </m:t>
              </m:r>
              <m:r>
                <m:rPr>
                  <m:lit/>
                </m:rPr>
                <w:rPr>
                  <w:rFonts w:ascii="Cambria Math" w:hAnsi="Cambria Math"/>
                  <w:shd w:val="clear" w:color="auto" w:fill="C5C5BD" w:themeFill="background2"/>
                </w:rPr>
                <m:t>{</m:t>
              </m:r>
              <m:r>
                <w:rPr>
                  <w:rFonts w:ascii="Cambria Math" w:hAnsi="Cambria Math"/>
                  <w:shd w:val="clear" w:color="auto" w:fill="C5C5BD" w:themeFill="background2"/>
                </w:rPr>
                <m:t> </m:t>
              </m:r>
              <m:sSub>
                <m:sSubPr>
                  <m:ctrlPr>
                    <w:rPr>
                      <w:rFonts w:ascii="Cambria Math" w:hAnsi="Cambria Math"/>
                      <w:i/>
                      <w:iCs/>
                      <w:shd w:val="clear" w:color="auto" w:fill="C5C5BD" w:themeFill="background2"/>
                    </w:rPr>
                  </m:ctrlPr>
                </m:sSubPr>
                <m:e>
                  <m:r>
                    <w:rPr>
                      <w:rFonts w:ascii="Cambria Math" w:hAnsi="Cambria Math"/>
                      <w:shd w:val="clear" w:color="auto" w:fill="C5C5BD" w:themeFill="background2"/>
                    </w:rPr>
                    <m:t>v</m:t>
                  </m:r>
                </m:e>
                <m:sub>
                  <m:r>
                    <w:rPr>
                      <w:rFonts w:ascii="Cambria Math" w:hAnsi="Cambria Math"/>
                      <w:shd w:val="clear" w:color="auto" w:fill="C5C5BD" w:themeFill="background2"/>
                    </w:rPr>
                    <m:t>1</m:t>
                  </m:r>
                </m:sub>
              </m:sSub>
              <m:r>
                <w:rPr>
                  <w:rFonts w:ascii="Cambria Math" w:hAnsi="Cambria Math"/>
                  <w:shd w:val="clear" w:color="auto" w:fill="C5C5BD" w:themeFill="background2"/>
                </w:rPr>
                <m:t>,</m:t>
              </m:r>
              <m:sSub>
                <m:sSubPr>
                  <m:ctrlPr>
                    <w:rPr>
                      <w:rFonts w:ascii="Cambria Math" w:hAnsi="Cambria Math"/>
                      <w:i/>
                      <w:iCs/>
                      <w:shd w:val="clear" w:color="auto" w:fill="C5C5BD" w:themeFill="background2"/>
                    </w:rPr>
                  </m:ctrlPr>
                </m:sSubPr>
                <m:e>
                  <m:r>
                    <w:rPr>
                      <w:rFonts w:ascii="Cambria Math" w:hAnsi="Cambria Math"/>
                      <w:shd w:val="clear" w:color="auto" w:fill="C5C5BD" w:themeFill="background2"/>
                    </w:rPr>
                    <m:t>v</m:t>
                  </m:r>
                </m:e>
                <m:sub>
                  <m:r>
                    <w:rPr>
                      <w:rFonts w:ascii="Cambria Math" w:hAnsi="Cambria Math"/>
                      <w:shd w:val="clear" w:color="auto" w:fill="C5C5BD" w:themeFill="background2"/>
                    </w:rPr>
                    <m:t>2</m:t>
                  </m:r>
                </m:sub>
              </m:sSub>
              <m:r>
                <w:rPr>
                  <w:rFonts w:ascii="Cambria Math" w:hAnsi="Cambria Math"/>
                  <w:shd w:val="clear" w:color="auto" w:fill="C5C5BD" w:themeFill="background2"/>
                </w:rPr>
                <m:t>, …, </m:t>
              </m:r>
              <m:sSub>
                <m:sSubPr>
                  <m:ctrlPr>
                    <w:rPr>
                      <w:rFonts w:ascii="Cambria Math" w:hAnsi="Cambria Math"/>
                      <w:i/>
                      <w:iCs/>
                      <w:shd w:val="clear" w:color="auto" w:fill="C5C5BD" w:themeFill="background2"/>
                    </w:rPr>
                  </m:ctrlPr>
                </m:sSubPr>
                <m:e>
                  <m:r>
                    <w:rPr>
                      <w:rFonts w:ascii="Cambria Math" w:hAnsi="Cambria Math"/>
                      <w:shd w:val="clear" w:color="auto" w:fill="C5C5BD" w:themeFill="background2"/>
                    </w:rPr>
                    <m:t>v</m:t>
                  </m:r>
                </m:e>
                <m:sub>
                  <m:r>
                    <w:rPr>
                      <w:rFonts w:ascii="Cambria Math" w:hAnsi="Cambria Math"/>
                      <w:shd w:val="clear" w:color="auto" w:fill="C5C5BD" w:themeFill="background2"/>
                    </w:rPr>
                    <m:t>n</m:t>
                  </m:r>
                </m:sub>
              </m:sSub>
              <m:r>
                <m:rPr>
                  <m:lit/>
                </m:rPr>
                <w:rPr>
                  <w:rFonts w:ascii="Cambria Math" w:hAnsi="Cambria Math"/>
                  <w:shd w:val="clear" w:color="auto" w:fill="C5C5BD" w:themeFill="background2"/>
                </w:rPr>
                <m:t>}</m:t>
              </m:r>
              <m:r>
                <w:rPr>
                  <w:rFonts w:ascii="Cambria Math" w:hAnsi="Cambria Math"/>
                  <w:shd w:val="clear" w:color="auto" w:fill="C5C5BD" w:themeFill="background2"/>
                </w:rPr>
                <m:t> </m:t>
              </m:r>
            </m:oMath>
            <w:r w:rsidR="005D631E" w:rsidRPr="005D631E">
              <w:rPr>
                <w:shd w:val="clear" w:color="auto" w:fill="C5C5BD" w:themeFill="background2"/>
              </w:rPr>
              <w:t xml:space="preserve"> </w:t>
            </w:r>
          </w:p>
          <w:p w14:paraId="4EA1B73D" w14:textId="20939762" w:rsidR="005D631E" w:rsidRPr="005D631E" w:rsidRDefault="005D631E" w:rsidP="005D631E">
            <w:pPr>
              <w:numPr>
                <w:ilvl w:val="0"/>
                <w:numId w:val="37"/>
              </w:numPr>
              <w:spacing w:before="120" w:after="0"/>
              <w:rPr>
                <w:shd w:val="clear" w:color="auto" w:fill="C5C5BD" w:themeFill="background2"/>
              </w:rPr>
            </w:pPr>
            <w:r w:rsidRPr="005D631E">
              <w:rPr>
                <w:shd w:val="clear" w:color="auto" w:fill="C5C5BD" w:themeFill="background2"/>
              </w:rPr>
              <w:t xml:space="preserve">Split the time series of data in </w:t>
            </w:r>
            <m:oMath>
              <m:sSubSup>
                <m:sSubSupPr>
                  <m:ctrlPr>
                    <w:rPr>
                      <w:rFonts w:ascii="Cambria Math" w:hAnsi="Cambria Math"/>
                      <w:i/>
                      <w:iCs/>
                      <w:shd w:val="clear" w:color="auto" w:fill="C5C5BD" w:themeFill="background2"/>
                    </w:rPr>
                  </m:ctrlPr>
                </m:sSubSupPr>
                <m:e>
                  <m:r>
                    <w:rPr>
                      <w:rFonts w:ascii="Cambria Math" w:hAnsi="Cambria Math"/>
                      <w:shd w:val="clear" w:color="auto" w:fill="C5C5BD" w:themeFill="background2"/>
                    </w:rPr>
                    <m:t>V</m:t>
                  </m:r>
                </m:e>
                <m:sub>
                  <m:r>
                    <w:rPr>
                      <w:rFonts w:ascii="Cambria Math" w:hAnsi="Cambria Math"/>
                      <w:shd w:val="clear" w:color="auto" w:fill="C5C5BD" w:themeFill="background2"/>
                    </w:rPr>
                    <m:t>1</m:t>
                  </m:r>
                </m:sub>
                <m:sup>
                  <m:r>
                    <w:rPr>
                      <w:rFonts w:ascii="Cambria Math" w:hAnsi="Cambria Math"/>
                      <w:shd w:val="clear" w:color="auto" w:fill="C5C5BD" w:themeFill="background2"/>
                    </w:rPr>
                    <m:t>N</m:t>
                  </m:r>
                </m:sup>
              </m:sSubSup>
            </m:oMath>
            <w:r w:rsidRPr="005D631E">
              <w:rPr>
                <w:shd w:val="clear" w:color="auto" w:fill="C5C5BD" w:themeFill="background2"/>
              </w:rPr>
              <w:t xml:space="preserve"> into two matrices </w:t>
            </w:r>
            <m:oMath>
              <m:sSubSup>
                <m:sSubSupPr>
                  <m:ctrlPr>
                    <w:rPr>
                      <w:rFonts w:ascii="Cambria Math" w:hAnsi="Cambria Math"/>
                      <w:i/>
                      <w:iCs/>
                      <w:shd w:val="clear" w:color="auto" w:fill="C5C5BD" w:themeFill="background2"/>
                    </w:rPr>
                  </m:ctrlPr>
                </m:sSubSupPr>
                <m:e>
                  <m:r>
                    <w:rPr>
                      <w:rFonts w:ascii="Cambria Math" w:hAnsi="Cambria Math"/>
                      <w:shd w:val="clear" w:color="auto" w:fill="C5C5BD" w:themeFill="background2"/>
                    </w:rPr>
                    <m:t>V</m:t>
                  </m:r>
                </m:e>
                <m:sub>
                  <m:r>
                    <w:rPr>
                      <w:rFonts w:ascii="Cambria Math" w:hAnsi="Cambria Math"/>
                      <w:shd w:val="clear" w:color="auto" w:fill="C5C5BD" w:themeFill="background2"/>
                    </w:rPr>
                    <m:t>1</m:t>
                  </m:r>
                </m:sub>
                <m:sup>
                  <m:r>
                    <w:rPr>
                      <w:rFonts w:ascii="Cambria Math" w:hAnsi="Cambria Math"/>
                      <w:shd w:val="clear" w:color="auto" w:fill="C5C5BD" w:themeFill="background2"/>
                    </w:rPr>
                    <m:t>N-1</m:t>
                  </m:r>
                </m:sup>
              </m:sSubSup>
            </m:oMath>
            <w:r w:rsidRPr="005D631E">
              <w:rPr>
                <w:shd w:val="clear" w:color="auto" w:fill="C5C5BD" w:themeFill="background2"/>
              </w:rPr>
              <w:t xml:space="preserve"> and </w:t>
            </w:r>
            <m:oMath>
              <m:sSubSup>
                <m:sSubSupPr>
                  <m:ctrlPr>
                    <w:rPr>
                      <w:rFonts w:ascii="Cambria Math" w:hAnsi="Cambria Math"/>
                      <w:i/>
                      <w:iCs/>
                      <w:shd w:val="clear" w:color="auto" w:fill="C5C5BD" w:themeFill="background2"/>
                    </w:rPr>
                  </m:ctrlPr>
                </m:sSubSupPr>
                <m:e>
                  <m:r>
                    <w:rPr>
                      <w:rFonts w:ascii="Cambria Math" w:hAnsi="Cambria Math"/>
                      <w:shd w:val="clear" w:color="auto" w:fill="C5C5BD" w:themeFill="background2"/>
                    </w:rPr>
                    <m:t>V</m:t>
                  </m:r>
                </m:e>
                <m:sub>
                  <m:r>
                    <w:rPr>
                      <w:rFonts w:ascii="Cambria Math" w:hAnsi="Cambria Math"/>
                      <w:shd w:val="clear" w:color="auto" w:fill="C5C5BD" w:themeFill="background2"/>
                    </w:rPr>
                    <m:t>2</m:t>
                  </m:r>
                </m:sub>
                <m:sup>
                  <m:r>
                    <w:rPr>
                      <w:rFonts w:ascii="Cambria Math" w:hAnsi="Cambria Math"/>
                      <w:shd w:val="clear" w:color="auto" w:fill="C5C5BD" w:themeFill="background2"/>
                    </w:rPr>
                    <m:t>N</m:t>
                  </m:r>
                </m:sup>
              </m:sSubSup>
            </m:oMath>
            <w:r w:rsidRPr="005D631E">
              <w:rPr>
                <w:shd w:val="clear" w:color="auto" w:fill="C5C5BD" w:themeFill="background2"/>
              </w:rPr>
              <w:t xml:space="preserve"> .</w:t>
            </w:r>
          </w:p>
          <w:p w14:paraId="2CFF891C" w14:textId="252456C3" w:rsidR="005D631E" w:rsidRPr="005D631E" w:rsidRDefault="005D631E" w:rsidP="005D631E">
            <w:pPr>
              <w:numPr>
                <w:ilvl w:val="0"/>
                <w:numId w:val="37"/>
              </w:numPr>
              <w:spacing w:before="120" w:after="0"/>
              <w:rPr>
                <w:shd w:val="clear" w:color="auto" w:fill="C5C5BD" w:themeFill="background2"/>
              </w:rPr>
            </w:pPr>
            <w:r w:rsidRPr="005D631E">
              <w:rPr>
                <w:shd w:val="clear" w:color="auto" w:fill="C5C5BD" w:themeFill="background2"/>
              </w:rPr>
              <w:t xml:space="preserve">Compute the SVD of </w:t>
            </w:r>
            <m:oMath>
              <m:sSubSup>
                <m:sSubSupPr>
                  <m:ctrlPr>
                    <w:rPr>
                      <w:rFonts w:ascii="Cambria Math" w:hAnsi="Cambria Math"/>
                      <w:i/>
                      <w:iCs/>
                      <w:shd w:val="clear" w:color="auto" w:fill="C5C5BD" w:themeFill="background2"/>
                    </w:rPr>
                  </m:ctrlPr>
                </m:sSubSupPr>
                <m:e>
                  <m:r>
                    <w:rPr>
                      <w:rFonts w:ascii="Cambria Math" w:hAnsi="Cambria Math"/>
                      <w:shd w:val="clear" w:color="auto" w:fill="C5C5BD" w:themeFill="background2"/>
                    </w:rPr>
                    <m:t>V</m:t>
                  </m:r>
                </m:e>
                <m:sub>
                  <m:r>
                    <w:rPr>
                      <w:rFonts w:ascii="Cambria Math" w:hAnsi="Cambria Math"/>
                      <w:shd w:val="clear" w:color="auto" w:fill="C5C5BD" w:themeFill="background2"/>
                    </w:rPr>
                    <m:t>1</m:t>
                  </m:r>
                </m:sub>
                <m:sup>
                  <m:r>
                    <w:rPr>
                      <w:rFonts w:ascii="Cambria Math" w:hAnsi="Cambria Math"/>
                      <w:shd w:val="clear" w:color="auto" w:fill="C5C5BD" w:themeFill="background2"/>
                    </w:rPr>
                    <m:t>N-1</m:t>
                  </m:r>
                </m:sup>
              </m:sSubSup>
              <m:r>
                <m:rPr>
                  <m:sty m:val="p"/>
                </m:rPr>
                <w:rPr>
                  <w:rFonts w:ascii="Cambria Math" w:hAnsi="Cambria Math"/>
                  <w:shd w:val="clear" w:color="auto" w:fill="C5C5BD" w:themeFill="background2"/>
                </w:rPr>
                <m:t>=U Σ</m:t>
              </m:r>
              <m:sSup>
                <m:sSupPr>
                  <m:ctrlPr>
                    <w:rPr>
                      <w:rFonts w:ascii="Cambria Math" w:hAnsi="Cambria Math"/>
                      <w:i/>
                      <w:iCs/>
                      <w:shd w:val="clear" w:color="auto" w:fill="C5C5BD" w:themeFill="background2"/>
                    </w:rPr>
                  </m:ctrlPr>
                </m:sSupPr>
                <m:e>
                  <m:r>
                    <w:rPr>
                      <w:rFonts w:ascii="Cambria Math" w:hAnsi="Cambria Math"/>
                      <w:shd w:val="clear" w:color="auto" w:fill="C5C5BD" w:themeFill="background2"/>
                    </w:rPr>
                    <m:t>W</m:t>
                  </m:r>
                </m:e>
                <m:sup>
                  <m:r>
                    <w:rPr>
                      <w:rFonts w:ascii="Cambria Math" w:hAnsi="Cambria Math"/>
                      <w:shd w:val="clear" w:color="auto" w:fill="C5C5BD" w:themeFill="background2"/>
                    </w:rPr>
                    <m:t>T</m:t>
                  </m:r>
                </m:sup>
              </m:sSup>
            </m:oMath>
            <w:r w:rsidRPr="005D631E">
              <w:rPr>
                <w:shd w:val="clear" w:color="auto" w:fill="C5C5BD" w:themeFill="background2"/>
              </w:rPr>
              <w:t>.</w:t>
            </w:r>
          </w:p>
          <w:p w14:paraId="623BCADD" w14:textId="351FA7F3" w:rsidR="005D631E" w:rsidRPr="005D631E" w:rsidRDefault="005D631E" w:rsidP="005D631E">
            <w:pPr>
              <w:numPr>
                <w:ilvl w:val="0"/>
                <w:numId w:val="37"/>
              </w:numPr>
              <w:spacing w:before="120" w:after="0"/>
              <w:rPr>
                <w:shd w:val="clear" w:color="auto" w:fill="C5C5BD" w:themeFill="background2"/>
              </w:rPr>
            </w:pPr>
            <w:r w:rsidRPr="005D631E">
              <w:rPr>
                <w:shd w:val="clear" w:color="auto" w:fill="C5C5BD" w:themeFill="background2"/>
              </w:rPr>
              <w:t xml:space="preserve">Form the matrix </w:t>
            </w:r>
            <m:oMath>
              <m:acc>
                <m:accPr>
                  <m:chr m:val="̃"/>
                  <m:ctrlPr>
                    <w:rPr>
                      <w:rFonts w:ascii="Cambria Math" w:hAnsi="Cambria Math"/>
                      <w:i/>
                      <w:iCs/>
                      <w:shd w:val="clear" w:color="auto" w:fill="C5C5BD" w:themeFill="background2"/>
                    </w:rPr>
                  </m:ctrlPr>
                </m:accPr>
                <m:e>
                  <m:r>
                    <w:rPr>
                      <w:rFonts w:ascii="Cambria Math" w:hAnsi="Cambria Math"/>
                      <w:shd w:val="clear" w:color="auto" w:fill="C5C5BD" w:themeFill="background2"/>
                    </w:rPr>
                    <m:t>S</m:t>
                  </m:r>
                </m:e>
              </m:acc>
              <m:r>
                <m:rPr>
                  <m:sty m:val="p"/>
                </m:rPr>
                <w:rPr>
                  <w:rFonts w:ascii="Cambria Math" w:hAnsi="Cambria Math"/>
                  <w:shd w:val="clear" w:color="auto" w:fill="C5C5BD" w:themeFill="background2"/>
                </w:rPr>
                <m:t>=</m:t>
              </m:r>
              <m:sSup>
                <m:sSupPr>
                  <m:ctrlPr>
                    <w:rPr>
                      <w:rFonts w:ascii="Cambria Math" w:hAnsi="Cambria Math"/>
                      <w:i/>
                      <w:iCs/>
                      <w:shd w:val="clear" w:color="auto" w:fill="C5C5BD" w:themeFill="background2"/>
                    </w:rPr>
                  </m:ctrlPr>
                </m:sSupPr>
                <m:e>
                  <m:r>
                    <m:rPr>
                      <m:sty m:val="p"/>
                    </m:rPr>
                    <w:rPr>
                      <w:rFonts w:ascii="Cambria Math" w:hAnsi="Cambria Math"/>
                      <w:shd w:val="clear" w:color="auto" w:fill="C5C5BD" w:themeFill="background2"/>
                    </w:rPr>
                    <m:t>U</m:t>
                  </m:r>
                </m:e>
                <m:sup>
                  <m:r>
                    <m:rPr>
                      <m:sty m:val="p"/>
                    </m:rPr>
                    <w:rPr>
                      <w:rFonts w:ascii="Cambria Math" w:hAnsi="Cambria Math"/>
                      <w:shd w:val="clear" w:color="auto" w:fill="C5C5BD" w:themeFill="background2"/>
                    </w:rPr>
                    <m:t>T</m:t>
                  </m:r>
                </m:sup>
              </m:sSup>
              <m:r>
                <m:rPr>
                  <m:sty m:val="p"/>
                </m:rPr>
                <w:rPr>
                  <w:rFonts w:ascii="Cambria Math" w:hAnsi="Cambria Math"/>
                  <w:shd w:val="clear" w:color="auto" w:fill="C5C5BD" w:themeFill="background2"/>
                </w:rPr>
                <m:t> </m:t>
              </m:r>
              <m:sSub>
                <m:sSubPr>
                  <m:ctrlPr>
                    <w:rPr>
                      <w:rFonts w:ascii="Cambria Math" w:hAnsi="Cambria Math"/>
                      <w:i/>
                      <w:iCs/>
                      <w:shd w:val="clear" w:color="auto" w:fill="C5C5BD" w:themeFill="background2"/>
                    </w:rPr>
                  </m:ctrlPr>
                </m:sSubPr>
                <m:e>
                  <m:r>
                    <w:rPr>
                      <w:rFonts w:ascii="Cambria Math" w:hAnsi="Cambria Math"/>
                      <w:shd w:val="clear" w:color="auto" w:fill="C5C5BD" w:themeFill="background2"/>
                    </w:rPr>
                    <m:t>V</m:t>
                  </m:r>
                </m:e>
                <m:sub>
                  <m:r>
                    <w:rPr>
                      <w:rFonts w:ascii="Cambria Math" w:hAnsi="Cambria Math"/>
                      <w:shd w:val="clear" w:color="auto" w:fill="C5C5BD" w:themeFill="background2"/>
                    </w:rPr>
                    <m:t>2</m:t>
                  </m:r>
                </m:sub>
              </m:sSub>
              <m:r>
                <w:rPr>
                  <w:rFonts w:ascii="Cambria Math" w:hAnsi="Cambria Math"/>
                  <w:shd w:val="clear" w:color="auto" w:fill="C5C5BD" w:themeFill="background2"/>
                </w:rPr>
                <m:t>W </m:t>
              </m:r>
              <m:sSup>
                <m:sSupPr>
                  <m:ctrlPr>
                    <w:rPr>
                      <w:rFonts w:ascii="Cambria Math" w:hAnsi="Cambria Math"/>
                      <w:i/>
                      <w:iCs/>
                      <w:shd w:val="clear" w:color="auto" w:fill="C5C5BD" w:themeFill="background2"/>
                    </w:rPr>
                  </m:ctrlPr>
                </m:sSupPr>
                <m:e>
                  <m:r>
                    <m:rPr>
                      <m:sty m:val="p"/>
                    </m:rPr>
                    <w:rPr>
                      <w:rFonts w:ascii="Cambria Math" w:hAnsi="Cambria Math"/>
                      <w:shd w:val="clear" w:color="auto" w:fill="C5C5BD" w:themeFill="background2"/>
                    </w:rPr>
                    <m:t>Σ</m:t>
                  </m:r>
                </m:e>
                <m:sup>
                  <m:r>
                    <w:rPr>
                      <w:rFonts w:ascii="Cambria Math" w:hAnsi="Cambria Math"/>
                      <w:shd w:val="clear" w:color="auto" w:fill="C5C5BD" w:themeFill="background2"/>
                    </w:rPr>
                    <m:t>-1</m:t>
                  </m:r>
                </m:sup>
              </m:sSup>
            </m:oMath>
          </w:p>
          <w:p w14:paraId="2AE27C5E" w14:textId="3910D824" w:rsidR="005D631E" w:rsidRPr="005D631E" w:rsidRDefault="005D631E" w:rsidP="005D631E">
            <w:pPr>
              <w:numPr>
                <w:ilvl w:val="0"/>
                <w:numId w:val="37"/>
              </w:numPr>
              <w:spacing w:before="120" w:after="0"/>
              <w:rPr>
                <w:shd w:val="clear" w:color="auto" w:fill="C5C5BD" w:themeFill="background2"/>
              </w:rPr>
            </w:pPr>
            <w:r w:rsidRPr="005D631E">
              <w:rPr>
                <w:shd w:val="clear" w:color="auto" w:fill="C5C5BD" w:themeFill="background2"/>
              </w:rPr>
              <w:t xml:space="preserve">The i-th DMD eigenvalue is </w:t>
            </w:r>
            <m:oMath>
              <m:sSub>
                <m:sSubPr>
                  <m:ctrlPr>
                    <w:rPr>
                      <w:rFonts w:ascii="Cambria Math" w:hAnsi="Cambria Math"/>
                      <w:i/>
                      <w:iCs/>
                      <w:shd w:val="clear" w:color="auto" w:fill="C5C5BD" w:themeFill="background2"/>
                    </w:rPr>
                  </m:ctrlPr>
                </m:sSubPr>
                <m:e>
                  <m:r>
                    <w:rPr>
                      <w:rFonts w:ascii="Cambria Math" w:hAnsi="Cambria Math"/>
                      <w:shd w:val="clear" w:color="auto" w:fill="C5C5BD" w:themeFill="background2"/>
                    </w:rPr>
                    <m:t>λ</m:t>
                  </m:r>
                </m:e>
                <m:sub>
                  <m:r>
                    <w:rPr>
                      <w:rFonts w:ascii="Cambria Math" w:hAnsi="Cambria Math"/>
                      <w:shd w:val="clear" w:color="auto" w:fill="C5C5BD" w:themeFill="background2"/>
                    </w:rPr>
                    <m:t>i</m:t>
                  </m:r>
                </m:sub>
              </m:sSub>
            </m:oMath>
            <w:r w:rsidRPr="005D631E">
              <w:rPr>
                <w:shd w:val="clear" w:color="auto" w:fill="C5C5BD" w:themeFill="background2"/>
              </w:rPr>
              <w:t xml:space="preserve"> and the </w:t>
            </w:r>
            <m:oMath>
              <m:r>
                <w:rPr>
                  <w:rFonts w:ascii="Cambria Math" w:hAnsi="Cambria Math"/>
                  <w:shd w:val="clear" w:color="auto" w:fill="C5C5BD" w:themeFill="background2"/>
                </w:rPr>
                <m:t>i</m:t>
              </m:r>
            </m:oMath>
            <w:r w:rsidRPr="005D631E">
              <w:rPr>
                <w:shd w:val="clear" w:color="auto" w:fill="C5C5BD" w:themeFill="background2"/>
              </w:rPr>
              <w:t xml:space="preserve">-th DMD mode is the </w:t>
            </w:r>
            <m:oMath>
              <m:r>
                <w:rPr>
                  <w:rFonts w:ascii="Cambria Math" w:hAnsi="Cambria Math"/>
                  <w:shd w:val="clear" w:color="auto" w:fill="C5C5BD" w:themeFill="background2"/>
                </w:rPr>
                <m:t>U </m:t>
              </m:r>
              <m:sSub>
                <m:sSubPr>
                  <m:ctrlPr>
                    <w:rPr>
                      <w:rFonts w:ascii="Cambria Math" w:hAnsi="Cambria Math"/>
                      <w:i/>
                      <w:iCs/>
                      <w:shd w:val="clear" w:color="auto" w:fill="C5C5BD" w:themeFill="background2"/>
                    </w:rPr>
                  </m:ctrlPr>
                </m:sSubPr>
                <m:e>
                  <m:r>
                    <w:rPr>
                      <w:rFonts w:ascii="Cambria Math" w:hAnsi="Cambria Math"/>
                      <w:shd w:val="clear" w:color="auto" w:fill="C5C5BD" w:themeFill="background2"/>
                    </w:rPr>
                    <m:t>y</m:t>
                  </m:r>
                </m:e>
                <m:sub>
                  <m:r>
                    <w:rPr>
                      <w:rFonts w:ascii="Cambria Math" w:hAnsi="Cambria Math"/>
                      <w:shd w:val="clear" w:color="auto" w:fill="C5C5BD" w:themeFill="background2"/>
                    </w:rPr>
                    <m:t>i</m:t>
                  </m:r>
                </m:sub>
              </m:sSub>
            </m:oMath>
            <w:r w:rsidRPr="005D631E">
              <w:rPr>
                <w:shd w:val="clear" w:color="auto" w:fill="C5C5BD" w:themeFill="background2"/>
              </w:rPr>
              <w:t>.</w:t>
            </w:r>
          </w:p>
          <w:p w14:paraId="71CE2D83" w14:textId="1E685BAA" w:rsidR="005D631E" w:rsidRDefault="005D631E" w:rsidP="00AB307A">
            <w:pPr>
              <w:spacing w:before="120"/>
              <w:rPr>
                <w:shd w:val="clear" w:color="auto" w:fill="C5C5BD" w:themeFill="background2"/>
              </w:rPr>
            </w:pPr>
            <w:r>
              <w:rPr>
                <w:shd w:val="clear" w:color="auto" w:fill="C5C5BD" w:themeFill="background2"/>
              </w:rPr>
              <w:t>As we only have two variables (ACTH and Cortisol), we have to use delay-embedding to enrich the data set in both cases. For biological systems that represent systems with delays</w:t>
            </w:r>
            <w:r w:rsidR="00E31974">
              <w:rPr>
                <w:shd w:val="clear" w:color="auto" w:fill="C5C5BD" w:themeFill="background2"/>
              </w:rPr>
              <w:t xml:space="preserve"> where the noise is dirty</w:t>
            </w:r>
            <w:r>
              <w:rPr>
                <w:shd w:val="clear" w:color="auto" w:fill="C5C5BD" w:themeFill="background2"/>
              </w:rPr>
              <w:t xml:space="preserve">, this is fundamentally suspect. </w:t>
            </w:r>
            <w:r w:rsidR="00E31974">
              <w:rPr>
                <w:shd w:val="clear" w:color="auto" w:fill="C5C5BD" w:themeFill="background2"/>
              </w:rPr>
              <w:t xml:space="preserve">A way of validating this is to see whether or not the data is reconstructed by the pseudomodes. </w:t>
            </w:r>
          </w:p>
          <w:p w14:paraId="0A86AC06" w14:textId="053066FB" w:rsidR="00C90131" w:rsidRDefault="001069E5" w:rsidP="00AB307A">
            <w:pPr>
              <w:spacing w:before="120"/>
              <w:rPr>
                <w:shd w:val="clear" w:color="auto" w:fill="C5C5BD" w:themeFill="background2"/>
              </w:rPr>
            </w:pPr>
            <w:r>
              <w:rPr>
                <w:shd w:val="clear" w:color="auto" w:fill="C5C5BD" w:themeFill="background2"/>
              </w:rPr>
              <w:t>Regarding the data from the heart surgery patients, the levels of ACTH and Cortisol formed three distinct categories regarding the one-pulse group, the two-pulse group and the multi-pulse group</w:t>
            </w:r>
            <w:r w:rsidR="006B1EA1">
              <w:rPr>
                <w:shd w:val="clear" w:color="auto" w:fill="C5C5BD" w:themeFill="background2"/>
              </w:rPr>
              <w:t xml:space="preserve"> (see Figure 1, </w:t>
            </w:r>
            <w:r w:rsidR="006B1EA1">
              <w:rPr>
                <w:shd w:val="clear" w:color="auto" w:fill="C5C5BD" w:themeFill="background2"/>
              </w:rPr>
              <w:lastRenderedPageBreak/>
              <w:t>the columns</w:t>
            </w:r>
            <w:r w:rsidR="00B01FEC">
              <w:rPr>
                <w:shd w:val="clear" w:color="auto" w:fill="C5C5BD" w:themeFill="background2"/>
              </w:rPr>
              <w:t xml:space="preserve"> from left to right</w:t>
            </w:r>
            <w:r w:rsidR="006B1EA1">
              <w:rPr>
                <w:shd w:val="clear" w:color="auto" w:fill="C5C5BD" w:themeFill="background2"/>
              </w:rPr>
              <w:t xml:space="preserve"> correspond to the two-pulse group, the single pulse group and the multi</w:t>
            </w:r>
            <w:r w:rsidR="00DC5C8E">
              <w:rPr>
                <w:shd w:val="clear" w:color="auto" w:fill="C5C5BD" w:themeFill="background2"/>
              </w:rPr>
              <w:t>-</w:t>
            </w:r>
            <w:r w:rsidR="006B1EA1">
              <w:rPr>
                <w:shd w:val="clear" w:color="auto" w:fill="C5C5BD" w:themeFill="background2"/>
              </w:rPr>
              <w:t>pulse group respectively)</w:t>
            </w:r>
            <w:r>
              <w:rPr>
                <w:shd w:val="clear" w:color="auto" w:fill="C5C5BD" w:themeFill="background2"/>
              </w:rPr>
              <w:t>.</w:t>
            </w:r>
            <w:r w:rsidR="00205217">
              <w:rPr>
                <w:shd w:val="clear" w:color="auto" w:fill="C5C5BD" w:themeFill="background2"/>
              </w:rPr>
              <w:t xml:space="preserve"> For the one-pulse pattern, the effect of the inflammatory mediators </w:t>
            </w:r>
            <w:r w:rsidR="00C90131">
              <w:rPr>
                <w:shd w:val="clear" w:color="auto" w:fill="C5C5BD" w:themeFill="background2"/>
              </w:rPr>
              <w:t xml:space="preserve">is important only in the single pulse pattern. We calculated the eigenvalues of the matrix obtained from DMD </w:t>
            </w:r>
            <w:r w:rsidR="00D20E80">
              <w:rPr>
                <w:shd w:val="clear" w:color="auto" w:fill="C5C5BD" w:themeFill="background2"/>
              </w:rPr>
              <w:t>as well as the Kreiss constant</w:t>
            </w:r>
            <w:r w:rsidR="00B01FEC">
              <w:rPr>
                <w:shd w:val="clear" w:color="auto" w:fill="C5C5BD" w:themeFill="background2"/>
              </w:rPr>
              <w:t xml:space="preserve"> (shown in Figure 1)</w:t>
            </w:r>
            <w:r w:rsidR="00DC5C8E">
              <w:rPr>
                <w:shd w:val="clear" w:color="auto" w:fill="C5C5BD" w:themeFill="background2"/>
              </w:rPr>
              <w:t>.</w:t>
            </w:r>
            <w:r w:rsidR="00AE7C1B">
              <w:rPr>
                <w:shd w:val="clear" w:color="auto" w:fill="C5C5BD" w:themeFill="background2"/>
              </w:rPr>
              <w:t xml:space="preserve"> The Kreiss constant is a lower bound on the maximum amplification possible from the linear operator. We did not see a correspondence between the Kreiss constants </w:t>
            </w:r>
            <w:r w:rsidR="00B01FEC">
              <w:rPr>
                <w:shd w:val="clear" w:color="auto" w:fill="C5C5BD" w:themeFill="background2"/>
              </w:rPr>
              <w:t xml:space="preserve">for the linear </w:t>
            </w:r>
            <w:r w:rsidR="00AE7C1B">
              <w:rPr>
                <w:shd w:val="clear" w:color="auto" w:fill="C5C5BD" w:themeFill="background2"/>
              </w:rPr>
              <w:t>operator</w:t>
            </w:r>
            <w:r w:rsidR="00B01FEC">
              <w:rPr>
                <w:shd w:val="clear" w:color="auto" w:fill="C5C5BD" w:themeFill="background2"/>
              </w:rPr>
              <w:t>s, established via DMD</w:t>
            </w:r>
            <w:r w:rsidR="00DC5C8E">
              <w:rPr>
                <w:shd w:val="clear" w:color="auto" w:fill="C5C5BD" w:themeFill="background2"/>
              </w:rPr>
              <w:t>,</w:t>
            </w:r>
            <w:r w:rsidR="00B01FEC">
              <w:rPr>
                <w:shd w:val="clear" w:color="auto" w:fill="C5C5BD" w:themeFill="background2"/>
              </w:rPr>
              <w:t xml:space="preserve"> and the </w:t>
            </w:r>
            <w:r w:rsidR="00DC5C8E">
              <w:rPr>
                <w:shd w:val="clear" w:color="auto" w:fill="C5C5BD" w:themeFill="background2"/>
              </w:rPr>
              <w:t>distinct groups</w:t>
            </w:r>
            <w:r w:rsidR="00AE7C1B">
              <w:rPr>
                <w:shd w:val="clear" w:color="auto" w:fill="C5C5BD" w:themeFill="background2"/>
              </w:rPr>
              <w:t xml:space="preserve">. </w:t>
            </w:r>
          </w:p>
          <w:p w14:paraId="32F26228" w14:textId="6F3A71D4" w:rsidR="0082695C" w:rsidRDefault="00B01FEC" w:rsidP="00AB307A">
            <w:pPr>
              <w:spacing w:before="120"/>
              <w:rPr>
                <w:shd w:val="clear" w:color="auto" w:fill="C5C5BD" w:themeFill="background2"/>
              </w:rPr>
            </w:pPr>
            <w:r>
              <w:rPr>
                <w:noProof/>
              </w:rPr>
              <mc:AlternateContent>
                <mc:Choice Requires="wps">
                  <w:drawing>
                    <wp:anchor distT="45720" distB="45720" distL="114300" distR="114300" simplePos="0" relativeHeight="251659264" behindDoc="0" locked="0" layoutInCell="1" allowOverlap="1" wp14:anchorId="04A2832C" wp14:editId="2AAE9470">
                      <wp:simplePos x="0" y="0"/>
                      <wp:positionH relativeFrom="column">
                        <wp:posOffset>2092241</wp:posOffset>
                      </wp:positionH>
                      <wp:positionV relativeFrom="paragraph">
                        <wp:posOffset>146216</wp:posOffset>
                      </wp:positionV>
                      <wp:extent cx="3578087" cy="1404620"/>
                      <wp:effectExtent l="0" t="0" r="22860" b="203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8087" cy="1404620"/>
                              </a:xfrm>
                              <a:prstGeom prst="rect">
                                <a:avLst/>
                              </a:prstGeom>
                              <a:solidFill>
                                <a:srgbClr val="FFFFFF"/>
                              </a:solidFill>
                              <a:ln w="9525">
                                <a:solidFill>
                                  <a:srgbClr val="000000"/>
                                </a:solidFill>
                                <a:miter lim="800000"/>
                                <a:headEnd/>
                                <a:tailEnd/>
                              </a:ln>
                            </wps:spPr>
                            <wps:txbx>
                              <w:txbxContent>
                                <w:p w14:paraId="39730615" w14:textId="686BBE00" w:rsidR="00B01FEC" w:rsidRDefault="00B01FEC">
                                  <w:r>
                                    <w:t>Figure 1. ACHT levels (orange) and Cortisol levels (blue) along with the pseudospectra plots for the heart surgery patients.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A2832C" id="_x0000_t202" coordsize="21600,21600" o:spt="202" path="m,l,21600r21600,l21600,xe">
                      <v:stroke joinstyle="miter"/>
                      <v:path gradientshapeok="t" o:connecttype="rect"/>
                    </v:shapetype>
                    <v:shape id="Text Box 2" o:spid="_x0000_s1026" type="#_x0000_t202" style="position:absolute;left:0;text-align:left;margin-left:164.75pt;margin-top:11.5pt;width:281.7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">
                      <v:textbox style="mso-fit-shape-to-text:t">
                        <w:txbxContent>
                          <w:p w14:paraId="39730615" w14:textId="686BBE00" w:rsidR="00B01FEC" w:rsidRDefault="00B01FEC">
                            <w:r>
                              <w:t>Figure 1. ACHT levels (orange) and Cortisol levels (blue) along with the pseudospectra plots for the heart surgery patients.</w:t>
                            </w:r>
                          </w:p>
                        </w:txbxContent>
                      </v:textbox>
                    </v:shape>
                  </w:pict>
                </mc:Fallback>
              </mc:AlternateContent>
            </w:r>
            <w:r w:rsidR="00472AE2">
              <w:object w:dxaOrig="5810" w:dyaOrig="9290" w14:anchorId="0FEC1B46">
                <v:shape id="_x0000_i1026" type="#_x0000_t75" style="width:160.95pt;height:257.35pt" o:ole="">
                  <v:imagedata r:id="rId11" o:title=""/>
                </v:shape>
                <o:OLEObject Type="Embed" ProgID="PBrush" ShapeID="_x0000_i1026" DrawAspect="Content" ObjectID="_1761336957" r:id="rId12"/>
              </w:object>
            </w:r>
            <w:r w:rsidR="00472AE2">
              <w:object w:dxaOrig="5650" w:dyaOrig="6910" w14:anchorId="48D4E88D">
                <v:shape id="_x0000_i1029" type="#_x0000_t75" style="width:143.25pt;height:175.15pt" o:ole="">
                  <v:imagedata r:id="rId13" o:title=""/>
                </v:shape>
                <o:OLEObject Type="Embed" ProgID="PBrush" ShapeID="_x0000_i1029" DrawAspect="Content" ObjectID="_1761336958" r:id="rId14"/>
              </w:object>
            </w:r>
            <w:r w:rsidR="006B1EA1">
              <w:object w:dxaOrig="5870" w:dyaOrig="7110" w14:anchorId="14FBEBDA">
                <v:shape id="_x0000_i1034" type="#_x0000_t75" style="width:145pt;height:175.25pt" o:ole="">
                  <v:imagedata r:id="rId15" o:title=""/>
                </v:shape>
                <o:OLEObject Type="Embed" ProgID="PBrush" ShapeID="_x0000_i1034" DrawAspect="Content" ObjectID="_1761336959" r:id="rId16"/>
              </w:object>
            </w:r>
          </w:p>
          <w:p w14:paraId="281169A7" w14:textId="441537B8" w:rsidR="00B01FEC" w:rsidRDefault="00B01FEC" w:rsidP="00B01FEC">
            <w:pPr>
              <w:spacing w:before="120"/>
              <w:rPr>
                <w:shd w:val="clear" w:color="auto" w:fill="C5C5BD" w:themeFill="background2"/>
              </w:rPr>
            </w:pPr>
            <w:r>
              <w:rPr>
                <w:shd w:val="clear" w:color="auto" w:fill="C5C5BD" w:themeFill="background2"/>
              </w:rPr>
              <w:t>W</w:t>
            </w:r>
            <w:r w:rsidR="009906C6">
              <w:rPr>
                <w:shd w:val="clear" w:color="auto" w:fill="C5C5BD" w:themeFill="background2"/>
              </w:rPr>
              <w:t xml:space="preserve">hat these plots demonstrated was a certain degree of bio-variability. Similar bio-variability held for the healthy participants, which is demonstrated from the pseudospectra plots (See figure 2). </w:t>
            </w:r>
          </w:p>
          <w:p w14:paraId="197FF142" w14:textId="6D206F70" w:rsidR="00F330C7" w:rsidRDefault="009906C6" w:rsidP="00F330C7">
            <w:pPr>
              <w:spacing w:before="120"/>
            </w:pPr>
            <w:r>
              <w:object w:dxaOrig="12270" w:dyaOrig="3450" w14:anchorId="0C2DA287">
                <v:shape id="_x0000_i1057" type="#_x0000_t75" style="width:452.75pt;height:127.3pt" o:ole="">
                  <v:imagedata r:id="rId17" o:title=""/>
                </v:shape>
                <o:OLEObject Type="Embed" ProgID="PBrush" ShapeID="_x0000_i1057" DrawAspect="Content" ObjectID="_1761336960" r:id="rId18"/>
              </w:object>
            </w:r>
          </w:p>
          <w:p w14:paraId="4D0D45C5" w14:textId="16363829" w:rsidR="00F330C7" w:rsidRDefault="00F330C7" w:rsidP="00F330C7">
            <w:pPr>
              <w:spacing w:before="120"/>
            </w:pPr>
            <w:r>
              <w:t xml:space="preserve">Figure 2. Different pseudospectra patterns </w:t>
            </w:r>
            <w:r w:rsidR="00693552">
              <w:t>for</w:t>
            </w:r>
            <w:r w:rsidR="00CA571F">
              <w:t xml:space="preserve"> healthy participants. </w:t>
            </w:r>
          </w:p>
          <w:p w14:paraId="36D168E2" w14:textId="56F0E1D5" w:rsidR="0082695C" w:rsidRPr="00E31974" w:rsidRDefault="005D631E" w:rsidP="00E31974">
            <w:pPr>
              <w:spacing w:before="120"/>
              <w:rPr>
                <w:shd w:val="clear" w:color="auto" w:fill="C5C5BD" w:themeFill="background2"/>
              </w:rPr>
            </w:pPr>
            <w:r>
              <w:rPr>
                <w:shd w:val="clear" w:color="auto" w:fill="C5C5BD" w:themeFill="background2"/>
              </w:rPr>
              <w:t xml:space="preserve">This corresponds to the first step in the original proposal. </w:t>
            </w:r>
            <w:r w:rsidR="00E31974">
              <w:rPr>
                <w:shd w:val="clear" w:color="auto" w:fill="C5C5BD" w:themeFill="background2"/>
              </w:rPr>
              <w:t xml:space="preserve">The pseudospectra modes did not reconstruct the original data well enough for a clinical application, so we need to change tactic. </w:t>
            </w:r>
            <w:r w:rsidR="00E31974">
              <w:rPr>
                <w:shd w:val="clear" w:color="auto" w:fill="C5C5BD" w:themeFill="background2"/>
              </w:rPr>
              <w:t>We also were pressed for time regarding fixing the spectral pollution using ResDMD</w:t>
            </w:r>
            <w:r w:rsidR="00E31974">
              <w:rPr>
                <w:shd w:val="clear" w:color="auto" w:fill="C5C5BD" w:themeFill="background2"/>
              </w:rPr>
              <w:t xml:space="preserve"> so this has been moved to the follow up activities. As Fourier modes reconstructed the data well, we intend to use a type of ResDMD that is based on convolution coordinates</w:t>
            </w:r>
            <w:r w:rsidR="00234BBC">
              <w:rPr>
                <w:shd w:val="clear" w:color="auto" w:fill="C5C5BD" w:themeFill="background2"/>
              </w:rPr>
              <w:t xml:space="preserve"> to enrich the data set as opposed to the delay embedding.</w:t>
            </w:r>
            <w:r w:rsidR="00E31974">
              <w:rPr>
                <w:shd w:val="clear" w:color="auto" w:fill="C5C5BD" w:themeFill="background2"/>
              </w:rPr>
              <w:t xml:space="preserve"> These correspond to using convolutional coordinates as the Fourier modes reconstruct the data. </w:t>
            </w:r>
            <w:r w:rsidR="00BC47C9">
              <w:rPr>
                <w:shd w:val="clear" w:color="auto" w:fill="C5C5BD" w:themeFill="background2"/>
              </w:rPr>
              <w:t xml:space="preserve">We will discuss more about this in the next section. </w:t>
            </w: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lastRenderedPageBreak/>
              <w:t xml:space="preserve">Description of the </w:t>
            </w:r>
            <w:r>
              <w:rPr>
                <w:b/>
                <w:sz w:val="22"/>
                <w:szCs w:val="24"/>
                <w:u w:val="single"/>
              </w:rPr>
              <w:t>STSM main achievements and planned follow-up activities</w:t>
            </w:r>
          </w:p>
          <w:p w14:paraId="1029830A" w14:textId="77777777" w:rsidR="00855770" w:rsidRDefault="00855770" w:rsidP="00AB307A">
            <w:pPr>
              <w:spacing w:before="120"/>
              <w:rPr>
                <w:rFonts w:ascii="ArialMT" w:eastAsiaTheme="minorEastAsia" w:hAnsi="ArialMT" w:cs="ArialMT"/>
                <w:color w:val="656966"/>
              </w:rPr>
            </w:pPr>
            <w:r>
              <w:rPr>
                <w:rFonts w:ascii="ArialMT" w:eastAsiaTheme="minorEastAsia" w:hAnsi="ArialMT" w:cs="ArialMT"/>
                <w:color w:val="656966"/>
              </w:rPr>
              <w:lastRenderedPageBreak/>
              <w:t xml:space="preserve">Description and assessment of whether </w:t>
            </w:r>
            <w:r w:rsidRPr="079E842C">
              <w:rPr>
                <w:rFonts w:ascii="ArialMT" w:eastAsiaTheme="minorEastAsia" w:hAnsi="ArialMT" w:cs="ArialMT"/>
                <w:color w:val="656966"/>
              </w:rPr>
              <w:t xml:space="preserve">the </w:t>
            </w:r>
            <w:r>
              <w:rPr>
                <w:rFonts w:ascii="ArialMT" w:eastAsiaTheme="minorEastAsia" w:hAnsi="ArialMT" w:cs="ArialMT"/>
                <w:color w:val="656966"/>
              </w:rPr>
              <w:t xml:space="preserve">STSM achieved its planned goals and expected outcomes, </w:t>
            </w:r>
            <w:r w:rsidRPr="000E42F2">
              <w:rPr>
                <w:rFonts w:ascii="ArialMT" w:eastAsiaTheme="minorEastAsia" w:hAnsi="ArialMT" w:cs="ArialMT"/>
                <w:color w:val="656966"/>
              </w:rPr>
              <w:t>including specific contribution to Action objective and deliverables, or publications resulting from the STSM.</w:t>
            </w:r>
            <w:r>
              <w:rPr>
                <w:rFonts w:ascii="ArialMT" w:eastAsiaTheme="minorEastAsia" w:hAnsi="ArialMT" w:cs="ArialMT"/>
                <w:color w:val="656966"/>
              </w:rPr>
              <w:t xml:space="preserve"> Agreed plans for future follow-up collaborations shall also be described in this section.</w:t>
            </w:r>
          </w:p>
          <w:p w14:paraId="090EB7C3" w14:textId="77777777" w:rsidR="00855770" w:rsidRDefault="00855770" w:rsidP="00BC47C9">
            <w:pPr>
              <w:spacing w:before="120"/>
              <w:rPr>
                <w:shd w:val="clear" w:color="auto" w:fill="C5C5BD" w:themeFill="background2"/>
              </w:rPr>
            </w:pPr>
            <w:r w:rsidRPr="00AB7D5B">
              <w:rPr>
                <w:i/>
                <w:iCs/>
              </w:rPr>
              <w:t>(max.</w:t>
            </w:r>
            <w:r>
              <w:rPr>
                <w:i/>
                <w:iCs/>
              </w:rPr>
              <w:t xml:space="preserve"> </w:t>
            </w:r>
            <w:r w:rsidRPr="00AB7D5B">
              <w:rPr>
                <w:i/>
                <w:iCs/>
              </w:rPr>
              <w:t xml:space="preserve">500 words) </w:t>
            </w:r>
          </w:p>
          <w:p w14:paraId="79C278D7" w14:textId="6F9DFF49" w:rsidR="00AB6C02" w:rsidRDefault="00BC47C9" w:rsidP="00BC47C9">
            <w:pPr>
              <w:spacing w:before="120"/>
              <w:rPr>
                <w:shd w:val="clear" w:color="auto" w:fill="C5C5BD" w:themeFill="background2"/>
              </w:rPr>
            </w:pPr>
            <w:r w:rsidRPr="007619FD">
              <w:rPr>
                <w:shd w:val="clear" w:color="auto" w:fill="C5C5BD" w:themeFill="background2"/>
              </w:rPr>
              <w:t xml:space="preserve">The main achievements of the STSM can be summarised as preliminary computations </w:t>
            </w:r>
            <w:r w:rsidR="003F71E1" w:rsidRPr="007619FD">
              <w:rPr>
                <w:shd w:val="clear" w:color="auto" w:fill="C5C5BD" w:themeFill="background2"/>
              </w:rPr>
              <w:t xml:space="preserve">demonstrated above as well as a new understanding of the problem. </w:t>
            </w:r>
            <w:r w:rsidR="003F71E1" w:rsidRPr="003F71E1">
              <w:rPr>
                <w:shd w:val="clear" w:color="auto" w:fill="C5C5BD" w:themeFill="background2"/>
              </w:rPr>
              <w:t>Both approaches (pseudospectra and DMD) give us a way of probing underlying models and giving us some quantification of perturbation</w:t>
            </w:r>
            <w:r w:rsidR="003F71E1" w:rsidRPr="007619FD">
              <w:rPr>
                <w:shd w:val="clear" w:color="auto" w:fill="C5C5BD" w:themeFill="background2"/>
              </w:rPr>
              <w:t xml:space="preserve"> via the Kreiss constant. </w:t>
            </w:r>
            <w:r w:rsidR="003F71E1" w:rsidRPr="003F71E1">
              <w:rPr>
                <w:shd w:val="clear" w:color="auto" w:fill="C5C5BD" w:themeFill="background2"/>
              </w:rPr>
              <w:t xml:space="preserve">However, </w:t>
            </w:r>
            <w:r w:rsidR="00625D33" w:rsidRPr="007619FD">
              <w:rPr>
                <w:shd w:val="clear" w:color="auto" w:fill="C5C5BD" w:themeFill="background2"/>
              </w:rPr>
              <w:t xml:space="preserve">we have learned valuable things regarding the limitations of </w:t>
            </w:r>
            <w:r w:rsidR="007619FD" w:rsidRPr="007619FD">
              <w:rPr>
                <w:shd w:val="clear" w:color="auto" w:fill="C5C5BD" w:themeFill="background2"/>
              </w:rPr>
              <w:t xml:space="preserve">both </w:t>
            </w:r>
            <w:r w:rsidR="00625D33" w:rsidRPr="007619FD">
              <w:rPr>
                <w:shd w:val="clear" w:color="auto" w:fill="C5C5BD" w:themeFill="background2"/>
              </w:rPr>
              <w:t>methodolog</w:t>
            </w:r>
            <w:r w:rsidR="007619FD" w:rsidRPr="007619FD">
              <w:rPr>
                <w:shd w:val="clear" w:color="auto" w:fill="C5C5BD" w:themeFill="background2"/>
              </w:rPr>
              <w:t>ies</w:t>
            </w:r>
            <w:r w:rsidR="007619FD">
              <w:rPr>
                <w:shd w:val="clear" w:color="auto" w:fill="C5C5BD" w:themeFill="background2"/>
              </w:rPr>
              <w:t>;</w:t>
            </w:r>
            <w:r w:rsidR="00625D33" w:rsidRPr="007619FD">
              <w:rPr>
                <w:shd w:val="clear" w:color="auto" w:fill="C5C5BD" w:themeFill="background2"/>
              </w:rPr>
              <w:t xml:space="preserve"> Firstly, the </w:t>
            </w:r>
            <w:r w:rsidR="003F71E1" w:rsidRPr="003F71E1">
              <w:rPr>
                <w:shd w:val="clear" w:color="auto" w:fill="C5C5BD" w:themeFill="background2"/>
              </w:rPr>
              <w:t xml:space="preserve">perturbation </w:t>
            </w:r>
            <w:r w:rsidR="007619FD" w:rsidRPr="007619FD">
              <w:rPr>
                <w:shd w:val="clear" w:color="auto" w:fill="C5C5BD" w:themeFill="background2"/>
              </w:rPr>
              <w:t xml:space="preserve">quantified by pseudospectra </w:t>
            </w:r>
            <w:r w:rsidR="003F71E1" w:rsidRPr="003F71E1">
              <w:rPr>
                <w:shd w:val="clear" w:color="auto" w:fill="C5C5BD" w:themeFill="background2"/>
              </w:rPr>
              <w:t xml:space="preserve">does not necessarily correspond to physical </w:t>
            </w:r>
            <w:r w:rsidR="003F71E1" w:rsidRPr="007619FD">
              <w:rPr>
                <w:shd w:val="clear" w:color="auto" w:fill="C5C5BD" w:themeFill="background2"/>
              </w:rPr>
              <w:t>perturbation</w:t>
            </w:r>
            <w:r w:rsidR="00625D33" w:rsidRPr="007619FD">
              <w:rPr>
                <w:shd w:val="clear" w:color="auto" w:fill="C5C5BD" w:themeFill="background2"/>
              </w:rPr>
              <w:t xml:space="preserve"> </w:t>
            </w:r>
            <w:r w:rsidR="007619FD">
              <w:rPr>
                <w:shd w:val="clear" w:color="auto" w:fill="C5C5BD" w:themeFill="background2"/>
              </w:rPr>
              <w:t>even when calculated from dmd modes. For instance, in the case of the</w:t>
            </w:r>
            <w:r w:rsidR="00625D33" w:rsidRPr="007619FD">
              <w:rPr>
                <w:shd w:val="clear" w:color="auto" w:fill="C5C5BD" w:themeFill="background2"/>
              </w:rPr>
              <w:t xml:space="preserve"> heart surgery </w:t>
            </w:r>
            <w:r w:rsidR="007619FD">
              <w:rPr>
                <w:shd w:val="clear" w:color="auto" w:fill="C5C5BD" w:themeFill="background2"/>
              </w:rPr>
              <w:t xml:space="preserve">patients, there was no correspondence between the size of the perturbation demonstrated by the Kreiss constant and the transient effects experienced by the patients. However, there is a chance to explore </w:t>
            </w:r>
            <w:r w:rsidR="003F71E1" w:rsidRPr="003F71E1">
              <w:rPr>
                <w:shd w:val="clear" w:color="auto" w:fill="C5C5BD" w:themeFill="background2"/>
              </w:rPr>
              <w:t>structured pseudospectra to recreate some physical perturbations</w:t>
            </w:r>
            <w:r w:rsidR="007619FD">
              <w:rPr>
                <w:shd w:val="clear" w:color="auto" w:fill="C5C5BD" w:themeFill="background2"/>
              </w:rPr>
              <w:t xml:space="preserve"> (this idea was initially laid out in the plan, but we did not accomplish this in this STSM). However, this requires a model first, and we intend to do this with the model outlined in the proposal. Additionally, regarding DMD, we are limited to the data so often it is impossible to tell whether there are multiple fixed points or attractors (we only see what attractor we are in). </w:t>
            </w:r>
            <w:r w:rsidR="00AB6C02">
              <w:rPr>
                <w:shd w:val="clear" w:color="auto" w:fill="C5C5BD" w:themeFill="background2"/>
              </w:rPr>
              <w:t xml:space="preserve">This has issues regarding the potential applications for control. </w:t>
            </w:r>
            <w:r w:rsidR="00AB6C02">
              <w:rPr>
                <w:shd w:val="clear" w:color="auto" w:fill="C5C5BD" w:themeFill="background2"/>
              </w:rPr>
              <w:t xml:space="preserve">We are keen to create a new algorithm that solves this particular problem, which is in line with the objectives of WG5 and WG2 (the development of numerical methods around nonlinear problems). An approach we are going to take is making the dictionary of observables in the DMD algorithm more similar to functions on the right-hand-side of the dynamical systems in the mathematical models. We hope that these functions will help us explore the phase space fully </w:t>
            </w:r>
            <w:r w:rsidR="00DC5C8E">
              <w:rPr>
                <w:shd w:val="clear" w:color="auto" w:fill="C5C5BD" w:themeFill="background2"/>
              </w:rPr>
              <w:t xml:space="preserve">and not be restricted to which fixed point the system is in. </w:t>
            </w:r>
          </w:p>
          <w:p w14:paraId="23305517" w14:textId="6082173D" w:rsidR="00AB6C02" w:rsidRDefault="00AB6C02" w:rsidP="00BC47C9">
            <w:pPr>
              <w:spacing w:before="120"/>
              <w:rPr>
                <w:shd w:val="clear" w:color="auto" w:fill="C5C5BD" w:themeFill="background2"/>
              </w:rPr>
            </w:pPr>
            <w:r>
              <w:rPr>
                <w:shd w:val="clear" w:color="auto" w:fill="C5C5BD" w:themeFill="background2"/>
              </w:rPr>
              <w:t xml:space="preserve"> On a more positive note, we did find the pseudospectra, in particular the Kreiss constant, is a good indicator of bio-variability on a person-to-person level. Talking to Eder Zavala, we are going to incorporate pseudospectra into a bigger grant proposal to explore this subject of bio-variability with regards to recovery from sleep deprivation. In this project, the objective will be looking at variability itself as opposed to trying to recreate data.</w:t>
            </w:r>
          </w:p>
          <w:p w14:paraId="1220C4E3" w14:textId="423A05DD" w:rsidR="00AB6C02" w:rsidRDefault="00AB6C02" w:rsidP="00BC47C9">
            <w:pPr>
              <w:spacing w:before="120"/>
              <w:rPr>
                <w:shd w:val="clear" w:color="auto" w:fill="C5C5BD" w:themeFill="background2"/>
              </w:rPr>
            </w:pPr>
            <w:r>
              <w:rPr>
                <w:shd w:val="clear" w:color="auto" w:fill="C5C5BD" w:themeFill="background2"/>
              </w:rPr>
              <w:t>This STSM also facilitated several outcomes written in the original proposal including the new academic environment and also the creation of the paper focussing on this aspect of bio-variability. Furthermore, the research of this STSM was disseminated at the post-doc symposium at the University of Birmingham and the plan will be followed to present the results again on bio-variability at the Society of Mathematical Biology (SMB) Annual meeting.</w:t>
            </w:r>
          </w:p>
          <w:p w14:paraId="7D7F73F8" w14:textId="1F4AE354" w:rsidR="00DC5C8E" w:rsidRDefault="00DC5C8E" w:rsidP="00BC47C9">
            <w:pPr>
              <w:spacing w:before="120"/>
              <w:rPr>
                <w:shd w:val="clear" w:color="auto" w:fill="C5C5BD" w:themeFill="background2"/>
              </w:rPr>
            </w:pPr>
            <w:r>
              <w:rPr>
                <w:shd w:val="clear" w:color="auto" w:fill="C5C5BD" w:themeFill="background2"/>
              </w:rPr>
              <w:t xml:space="preserve">This project will be continued as the member has been invited to give a seminar in Cambridge where she will work with Matthew Colbrook again over a period of days and they also intend to have weekly zoom meetings. </w:t>
            </w:r>
          </w:p>
          <w:p w14:paraId="79965B1A" w14:textId="44B987F5" w:rsidR="003F71E1" w:rsidRPr="00855770" w:rsidRDefault="003F71E1" w:rsidP="00BC47C9">
            <w:pPr>
              <w:spacing w:before="120"/>
              <w:rPr>
                <w:shd w:val="clear" w:color="auto" w:fill="C5C5BD" w:themeFill="background2"/>
              </w:rPr>
            </w:pPr>
          </w:p>
        </w:tc>
      </w:tr>
    </w:tbl>
    <w:p w14:paraId="1E3BB603" w14:textId="12F57FF4" w:rsidR="005146D6" w:rsidRPr="00D940F7" w:rsidRDefault="005146D6" w:rsidP="00D940F7"/>
    <w:sectPr w:rsidR="005146D6" w:rsidRPr="00D940F7" w:rsidSect="00384D8B">
      <w:headerReference w:type="even" r:id="rId19"/>
      <w:headerReference w:type="default" r:id="rId20"/>
      <w:footerReference w:type="even" r:id="rId21"/>
      <w:footerReference w:type="default" r:id="rId22"/>
      <w:headerReference w:type="first" r:id="rId23"/>
      <w:footerReference w:type="first" r:id="rId24"/>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ADCEC" w14:textId="77777777" w:rsidR="006A3B57" w:rsidRDefault="006A3B57" w:rsidP="00F24F32">
      <w:r>
        <w:separator/>
      </w:r>
    </w:p>
  </w:endnote>
  <w:endnote w:type="continuationSeparator" w:id="0">
    <w:p w14:paraId="6CEE829F" w14:textId="77777777" w:rsidR="006A3B57" w:rsidRDefault="006A3B57"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7"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1F95" w14:textId="77777777" w:rsidR="006A3B57" w:rsidRDefault="006A3B57" w:rsidP="00F24F32">
      <w:r>
        <w:separator/>
      </w:r>
    </w:p>
  </w:footnote>
  <w:footnote w:type="continuationSeparator" w:id="0">
    <w:p w14:paraId="760376D4" w14:textId="77777777" w:rsidR="006A3B57" w:rsidRDefault="006A3B57"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01.25pt;height:101.2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2AA6B05"/>
    <w:multiLevelType w:val="hybridMultilevel"/>
    <w:tmpl w:val="0DBE87DA"/>
    <w:lvl w:ilvl="0" w:tplc="7C60E0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6"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7"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2"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3" w15:restartNumberingAfterBreak="0">
    <w:nsid w:val="468C2AA2"/>
    <w:multiLevelType w:val="hybridMultilevel"/>
    <w:tmpl w:val="9DE27444"/>
    <w:lvl w:ilvl="0" w:tplc="B226F0B8">
      <w:start w:val="1"/>
      <w:numFmt w:val="bullet"/>
      <w:lvlText w:val="•"/>
      <w:lvlJc w:val="left"/>
      <w:pPr>
        <w:tabs>
          <w:tab w:val="num" w:pos="720"/>
        </w:tabs>
        <w:ind w:left="720" w:hanging="360"/>
      </w:pPr>
      <w:rPr>
        <w:rFonts w:ascii="Arial" w:hAnsi="Arial" w:hint="default"/>
      </w:rPr>
    </w:lvl>
    <w:lvl w:ilvl="1" w:tplc="4516DD90" w:tentative="1">
      <w:start w:val="1"/>
      <w:numFmt w:val="bullet"/>
      <w:lvlText w:val="•"/>
      <w:lvlJc w:val="left"/>
      <w:pPr>
        <w:tabs>
          <w:tab w:val="num" w:pos="1440"/>
        </w:tabs>
        <w:ind w:left="1440" w:hanging="360"/>
      </w:pPr>
      <w:rPr>
        <w:rFonts w:ascii="Arial" w:hAnsi="Arial" w:hint="default"/>
      </w:rPr>
    </w:lvl>
    <w:lvl w:ilvl="2" w:tplc="9A9A7FE4" w:tentative="1">
      <w:start w:val="1"/>
      <w:numFmt w:val="bullet"/>
      <w:lvlText w:val="•"/>
      <w:lvlJc w:val="left"/>
      <w:pPr>
        <w:tabs>
          <w:tab w:val="num" w:pos="2160"/>
        </w:tabs>
        <w:ind w:left="2160" w:hanging="360"/>
      </w:pPr>
      <w:rPr>
        <w:rFonts w:ascii="Arial" w:hAnsi="Arial" w:hint="default"/>
      </w:rPr>
    </w:lvl>
    <w:lvl w:ilvl="3" w:tplc="B122EC32" w:tentative="1">
      <w:start w:val="1"/>
      <w:numFmt w:val="bullet"/>
      <w:lvlText w:val="•"/>
      <w:lvlJc w:val="left"/>
      <w:pPr>
        <w:tabs>
          <w:tab w:val="num" w:pos="2880"/>
        </w:tabs>
        <w:ind w:left="2880" w:hanging="360"/>
      </w:pPr>
      <w:rPr>
        <w:rFonts w:ascii="Arial" w:hAnsi="Arial" w:hint="default"/>
      </w:rPr>
    </w:lvl>
    <w:lvl w:ilvl="4" w:tplc="FB50B480" w:tentative="1">
      <w:start w:val="1"/>
      <w:numFmt w:val="bullet"/>
      <w:lvlText w:val="•"/>
      <w:lvlJc w:val="left"/>
      <w:pPr>
        <w:tabs>
          <w:tab w:val="num" w:pos="3600"/>
        </w:tabs>
        <w:ind w:left="3600" w:hanging="360"/>
      </w:pPr>
      <w:rPr>
        <w:rFonts w:ascii="Arial" w:hAnsi="Arial" w:hint="default"/>
      </w:rPr>
    </w:lvl>
    <w:lvl w:ilvl="5" w:tplc="0B6C7ED4" w:tentative="1">
      <w:start w:val="1"/>
      <w:numFmt w:val="bullet"/>
      <w:lvlText w:val="•"/>
      <w:lvlJc w:val="left"/>
      <w:pPr>
        <w:tabs>
          <w:tab w:val="num" w:pos="4320"/>
        </w:tabs>
        <w:ind w:left="4320" w:hanging="360"/>
      </w:pPr>
      <w:rPr>
        <w:rFonts w:ascii="Arial" w:hAnsi="Arial" w:hint="default"/>
      </w:rPr>
    </w:lvl>
    <w:lvl w:ilvl="6" w:tplc="ED86CE50" w:tentative="1">
      <w:start w:val="1"/>
      <w:numFmt w:val="bullet"/>
      <w:lvlText w:val="•"/>
      <w:lvlJc w:val="left"/>
      <w:pPr>
        <w:tabs>
          <w:tab w:val="num" w:pos="5040"/>
        </w:tabs>
        <w:ind w:left="5040" w:hanging="360"/>
      </w:pPr>
      <w:rPr>
        <w:rFonts w:ascii="Arial" w:hAnsi="Arial" w:hint="default"/>
      </w:rPr>
    </w:lvl>
    <w:lvl w:ilvl="7" w:tplc="7540922E" w:tentative="1">
      <w:start w:val="1"/>
      <w:numFmt w:val="bullet"/>
      <w:lvlText w:val="•"/>
      <w:lvlJc w:val="left"/>
      <w:pPr>
        <w:tabs>
          <w:tab w:val="num" w:pos="5760"/>
        </w:tabs>
        <w:ind w:left="5760" w:hanging="360"/>
      </w:pPr>
      <w:rPr>
        <w:rFonts w:ascii="Arial" w:hAnsi="Arial" w:hint="default"/>
      </w:rPr>
    </w:lvl>
    <w:lvl w:ilvl="8" w:tplc="936AD87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6"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7"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9"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3" w15:restartNumberingAfterBreak="0">
    <w:nsid w:val="65901481"/>
    <w:multiLevelType w:val="hybridMultilevel"/>
    <w:tmpl w:val="AA6226AE"/>
    <w:lvl w:ilvl="0" w:tplc="2AAC6124">
      <w:start w:val="1"/>
      <w:numFmt w:val="bullet"/>
      <w:lvlText w:val="•"/>
      <w:lvlJc w:val="left"/>
      <w:pPr>
        <w:tabs>
          <w:tab w:val="num" w:pos="720"/>
        </w:tabs>
        <w:ind w:left="720" w:hanging="360"/>
      </w:pPr>
      <w:rPr>
        <w:rFonts w:ascii="Arial" w:hAnsi="Arial" w:hint="default"/>
      </w:rPr>
    </w:lvl>
    <w:lvl w:ilvl="1" w:tplc="170463DC" w:tentative="1">
      <w:start w:val="1"/>
      <w:numFmt w:val="bullet"/>
      <w:lvlText w:val="•"/>
      <w:lvlJc w:val="left"/>
      <w:pPr>
        <w:tabs>
          <w:tab w:val="num" w:pos="1440"/>
        </w:tabs>
        <w:ind w:left="1440" w:hanging="360"/>
      </w:pPr>
      <w:rPr>
        <w:rFonts w:ascii="Arial" w:hAnsi="Arial" w:hint="default"/>
      </w:rPr>
    </w:lvl>
    <w:lvl w:ilvl="2" w:tplc="698E0428" w:tentative="1">
      <w:start w:val="1"/>
      <w:numFmt w:val="bullet"/>
      <w:lvlText w:val="•"/>
      <w:lvlJc w:val="left"/>
      <w:pPr>
        <w:tabs>
          <w:tab w:val="num" w:pos="2160"/>
        </w:tabs>
        <w:ind w:left="2160" w:hanging="360"/>
      </w:pPr>
      <w:rPr>
        <w:rFonts w:ascii="Arial" w:hAnsi="Arial" w:hint="default"/>
      </w:rPr>
    </w:lvl>
    <w:lvl w:ilvl="3" w:tplc="CE2AC0EA" w:tentative="1">
      <w:start w:val="1"/>
      <w:numFmt w:val="bullet"/>
      <w:lvlText w:val="•"/>
      <w:lvlJc w:val="left"/>
      <w:pPr>
        <w:tabs>
          <w:tab w:val="num" w:pos="2880"/>
        </w:tabs>
        <w:ind w:left="2880" w:hanging="360"/>
      </w:pPr>
      <w:rPr>
        <w:rFonts w:ascii="Arial" w:hAnsi="Arial" w:hint="default"/>
      </w:rPr>
    </w:lvl>
    <w:lvl w:ilvl="4" w:tplc="4500A7F8" w:tentative="1">
      <w:start w:val="1"/>
      <w:numFmt w:val="bullet"/>
      <w:lvlText w:val="•"/>
      <w:lvlJc w:val="left"/>
      <w:pPr>
        <w:tabs>
          <w:tab w:val="num" w:pos="3600"/>
        </w:tabs>
        <w:ind w:left="3600" w:hanging="360"/>
      </w:pPr>
      <w:rPr>
        <w:rFonts w:ascii="Arial" w:hAnsi="Arial" w:hint="default"/>
      </w:rPr>
    </w:lvl>
    <w:lvl w:ilvl="5" w:tplc="42BA35DA" w:tentative="1">
      <w:start w:val="1"/>
      <w:numFmt w:val="bullet"/>
      <w:lvlText w:val="•"/>
      <w:lvlJc w:val="left"/>
      <w:pPr>
        <w:tabs>
          <w:tab w:val="num" w:pos="4320"/>
        </w:tabs>
        <w:ind w:left="4320" w:hanging="360"/>
      </w:pPr>
      <w:rPr>
        <w:rFonts w:ascii="Arial" w:hAnsi="Arial" w:hint="default"/>
      </w:rPr>
    </w:lvl>
    <w:lvl w:ilvl="6" w:tplc="5C28E388" w:tentative="1">
      <w:start w:val="1"/>
      <w:numFmt w:val="bullet"/>
      <w:lvlText w:val="•"/>
      <w:lvlJc w:val="left"/>
      <w:pPr>
        <w:tabs>
          <w:tab w:val="num" w:pos="5040"/>
        </w:tabs>
        <w:ind w:left="5040" w:hanging="360"/>
      </w:pPr>
      <w:rPr>
        <w:rFonts w:ascii="Arial" w:hAnsi="Arial" w:hint="default"/>
      </w:rPr>
    </w:lvl>
    <w:lvl w:ilvl="7" w:tplc="8278965E" w:tentative="1">
      <w:start w:val="1"/>
      <w:numFmt w:val="bullet"/>
      <w:lvlText w:val="•"/>
      <w:lvlJc w:val="left"/>
      <w:pPr>
        <w:tabs>
          <w:tab w:val="num" w:pos="5760"/>
        </w:tabs>
        <w:ind w:left="5760" w:hanging="360"/>
      </w:pPr>
      <w:rPr>
        <w:rFonts w:ascii="Arial" w:hAnsi="Arial" w:hint="default"/>
      </w:rPr>
    </w:lvl>
    <w:lvl w:ilvl="8" w:tplc="436A960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5"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49C58E1"/>
    <w:multiLevelType w:val="hybridMultilevel"/>
    <w:tmpl w:val="FDA4266C"/>
    <w:lvl w:ilvl="0" w:tplc="46A21F68">
      <w:start w:val="1"/>
      <w:numFmt w:val="decimal"/>
      <w:lvlText w:val="%1."/>
      <w:lvlJc w:val="left"/>
      <w:pPr>
        <w:tabs>
          <w:tab w:val="num" w:pos="720"/>
        </w:tabs>
        <w:ind w:left="720" w:hanging="360"/>
      </w:pPr>
    </w:lvl>
    <w:lvl w:ilvl="1" w:tplc="201AE346" w:tentative="1">
      <w:start w:val="1"/>
      <w:numFmt w:val="decimal"/>
      <w:lvlText w:val="%2."/>
      <w:lvlJc w:val="left"/>
      <w:pPr>
        <w:tabs>
          <w:tab w:val="num" w:pos="1440"/>
        </w:tabs>
        <w:ind w:left="1440" w:hanging="360"/>
      </w:pPr>
    </w:lvl>
    <w:lvl w:ilvl="2" w:tplc="940C0DA8" w:tentative="1">
      <w:start w:val="1"/>
      <w:numFmt w:val="decimal"/>
      <w:lvlText w:val="%3."/>
      <w:lvlJc w:val="left"/>
      <w:pPr>
        <w:tabs>
          <w:tab w:val="num" w:pos="2160"/>
        </w:tabs>
        <w:ind w:left="2160" w:hanging="360"/>
      </w:pPr>
    </w:lvl>
    <w:lvl w:ilvl="3" w:tplc="2CECA23C" w:tentative="1">
      <w:start w:val="1"/>
      <w:numFmt w:val="decimal"/>
      <w:lvlText w:val="%4."/>
      <w:lvlJc w:val="left"/>
      <w:pPr>
        <w:tabs>
          <w:tab w:val="num" w:pos="2880"/>
        </w:tabs>
        <w:ind w:left="2880" w:hanging="360"/>
      </w:pPr>
    </w:lvl>
    <w:lvl w:ilvl="4" w:tplc="4088FE3A" w:tentative="1">
      <w:start w:val="1"/>
      <w:numFmt w:val="decimal"/>
      <w:lvlText w:val="%5."/>
      <w:lvlJc w:val="left"/>
      <w:pPr>
        <w:tabs>
          <w:tab w:val="num" w:pos="3600"/>
        </w:tabs>
        <w:ind w:left="3600" w:hanging="360"/>
      </w:pPr>
    </w:lvl>
    <w:lvl w:ilvl="5" w:tplc="C214341C" w:tentative="1">
      <w:start w:val="1"/>
      <w:numFmt w:val="decimal"/>
      <w:lvlText w:val="%6."/>
      <w:lvlJc w:val="left"/>
      <w:pPr>
        <w:tabs>
          <w:tab w:val="num" w:pos="4320"/>
        </w:tabs>
        <w:ind w:left="4320" w:hanging="360"/>
      </w:pPr>
    </w:lvl>
    <w:lvl w:ilvl="6" w:tplc="61E03D48" w:tentative="1">
      <w:start w:val="1"/>
      <w:numFmt w:val="decimal"/>
      <w:lvlText w:val="%7."/>
      <w:lvlJc w:val="left"/>
      <w:pPr>
        <w:tabs>
          <w:tab w:val="num" w:pos="5040"/>
        </w:tabs>
        <w:ind w:left="5040" w:hanging="360"/>
      </w:pPr>
    </w:lvl>
    <w:lvl w:ilvl="7" w:tplc="55FABF64" w:tentative="1">
      <w:start w:val="1"/>
      <w:numFmt w:val="decimal"/>
      <w:lvlText w:val="%8."/>
      <w:lvlJc w:val="left"/>
      <w:pPr>
        <w:tabs>
          <w:tab w:val="num" w:pos="5760"/>
        </w:tabs>
        <w:ind w:left="5760" w:hanging="360"/>
      </w:pPr>
    </w:lvl>
    <w:lvl w:ilvl="8" w:tplc="F77298B2" w:tentative="1">
      <w:start w:val="1"/>
      <w:numFmt w:val="decimal"/>
      <w:lvlText w:val="%9."/>
      <w:lvlJc w:val="left"/>
      <w:pPr>
        <w:tabs>
          <w:tab w:val="num" w:pos="6480"/>
        </w:tabs>
        <w:ind w:left="6480" w:hanging="360"/>
      </w:pPr>
    </w:lvl>
  </w:abstractNum>
  <w:abstractNum w:abstractNumId="37"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782113756">
    <w:abstractNumId w:val="17"/>
  </w:num>
  <w:num w:numId="2" w16cid:durableId="871382651">
    <w:abstractNumId w:val="25"/>
  </w:num>
  <w:num w:numId="3" w16cid:durableId="785270853">
    <w:abstractNumId w:val="26"/>
  </w:num>
  <w:num w:numId="4" w16cid:durableId="2030796428">
    <w:abstractNumId w:val="22"/>
  </w:num>
  <w:num w:numId="5" w16cid:durableId="128785612">
    <w:abstractNumId w:val="11"/>
  </w:num>
  <w:num w:numId="6" w16cid:durableId="1732845792">
    <w:abstractNumId w:val="4"/>
  </w:num>
  <w:num w:numId="7" w16cid:durableId="1641811298">
    <w:abstractNumId w:val="5"/>
  </w:num>
  <w:num w:numId="8" w16cid:durableId="1975405818">
    <w:abstractNumId w:val="6"/>
  </w:num>
  <w:num w:numId="9" w16cid:durableId="914320975">
    <w:abstractNumId w:val="7"/>
  </w:num>
  <w:num w:numId="10" w16cid:durableId="2049792501">
    <w:abstractNumId w:val="9"/>
  </w:num>
  <w:num w:numId="11" w16cid:durableId="1118522043">
    <w:abstractNumId w:val="0"/>
  </w:num>
  <w:num w:numId="12" w16cid:durableId="1247610503">
    <w:abstractNumId w:val="1"/>
  </w:num>
  <w:num w:numId="13" w16cid:durableId="314604945">
    <w:abstractNumId w:val="2"/>
  </w:num>
  <w:num w:numId="14" w16cid:durableId="1277101725">
    <w:abstractNumId w:val="3"/>
  </w:num>
  <w:num w:numId="15" w16cid:durableId="1155535719">
    <w:abstractNumId w:val="8"/>
  </w:num>
  <w:num w:numId="16" w16cid:durableId="864489827">
    <w:abstractNumId w:val="30"/>
  </w:num>
  <w:num w:numId="17" w16cid:durableId="338780459">
    <w:abstractNumId w:val="35"/>
  </w:num>
  <w:num w:numId="18" w16cid:durableId="132405959">
    <w:abstractNumId w:val="18"/>
  </w:num>
  <w:num w:numId="19" w16cid:durableId="1814830484">
    <w:abstractNumId w:val="20"/>
  </w:num>
  <w:num w:numId="20" w16cid:durableId="426317223">
    <w:abstractNumId w:val="10"/>
  </w:num>
  <w:num w:numId="21" w16cid:durableId="839125462">
    <w:abstractNumId w:val="29"/>
  </w:num>
  <w:num w:numId="22" w16cid:durableId="1329869139">
    <w:abstractNumId w:val="24"/>
  </w:num>
  <w:num w:numId="23" w16cid:durableId="1283460427">
    <w:abstractNumId w:val="15"/>
  </w:num>
  <w:num w:numId="24" w16cid:durableId="1920674832">
    <w:abstractNumId w:val="32"/>
  </w:num>
  <w:num w:numId="25" w16cid:durableId="373046063">
    <w:abstractNumId w:val="16"/>
  </w:num>
  <w:num w:numId="26" w16cid:durableId="872108482">
    <w:abstractNumId w:val="34"/>
  </w:num>
  <w:num w:numId="27" w16cid:durableId="727532722">
    <w:abstractNumId w:val="13"/>
  </w:num>
  <w:num w:numId="28" w16cid:durableId="19971056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70080011">
    <w:abstractNumId w:val="14"/>
  </w:num>
  <w:num w:numId="30" w16cid:durableId="1799639013">
    <w:abstractNumId w:val="21"/>
  </w:num>
  <w:num w:numId="31" w16cid:durableId="548106764">
    <w:abstractNumId w:val="37"/>
  </w:num>
  <w:num w:numId="32" w16cid:durableId="408506598">
    <w:abstractNumId w:val="28"/>
  </w:num>
  <w:num w:numId="33" w16cid:durableId="2088113851">
    <w:abstractNumId w:val="19"/>
  </w:num>
  <w:num w:numId="34" w16cid:durableId="1952006654">
    <w:abstractNumId w:val="31"/>
  </w:num>
  <w:num w:numId="35" w16cid:durableId="750352249">
    <w:abstractNumId w:val="27"/>
  </w:num>
  <w:num w:numId="36" w16cid:durableId="2074499786">
    <w:abstractNumId w:val="12"/>
  </w:num>
  <w:num w:numId="37" w16cid:durableId="940259705">
    <w:abstractNumId w:val="36"/>
  </w:num>
  <w:num w:numId="38" w16cid:durableId="529759892">
    <w:abstractNumId w:val="23"/>
  </w:num>
  <w:num w:numId="39" w16cid:durableId="1881279597">
    <w:abstractNumId w:val="3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069E5"/>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51B4"/>
    <w:rsid w:val="002050E6"/>
    <w:rsid w:val="00205217"/>
    <w:rsid w:val="00205BFB"/>
    <w:rsid w:val="002232AF"/>
    <w:rsid w:val="00231490"/>
    <w:rsid w:val="00231CB1"/>
    <w:rsid w:val="00234BBC"/>
    <w:rsid w:val="00253039"/>
    <w:rsid w:val="00266DE4"/>
    <w:rsid w:val="00275878"/>
    <w:rsid w:val="0028353D"/>
    <w:rsid w:val="00285A54"/>
    <w:rsid w:val="002C082C"/>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3F71E1"/>
    <w:rsid w:val="0040461C"/>
    <w:rsid w:val="00415B74"/>
    <w:rsid w:val="0041648F"/>
    <w:rsid w:val="00430C33"/>
    <w:rsid w:val="00434377"/>
    <w:rsid w:val="00435BA4"/>
    <w:rsid w:val="00462342"/>
    <w:rsid w:val="00470DB1"/>
    <w:rsid w:val="00471C1C"/>
    <w:rsid w:val="00472AE2"/>
    <w:rsid w:val="0048049A"/>
    <w:rsid w:val="004E1663"/>
    <w:rsid w:val="004E73E5"/>
    <w:rsid w:val="004F1430"/>
    <w:rsid w:val="004F673B"/>
    <w:rsid w:val="00502099"/>
    <w:rsid w:val="00507965"/>
    <w:rsid w:val="005146D6"/>
    <w:rsid w:val="00515403"/>
    <w:rsid w:val="00516CEB"/>
    <w:rsid w:val="005418ED"/>
    <w:rsid w:val="0054703D"/>
    <w:rsid w:val="00547BA4"/>
    <w:rsid w:val="00551257"/>
    <w:rsid w:val="00553543"/>
    <w:rsid w:val="005673A1"/>
    <w:rsid w:val="00567739"/>
    <w:rsid w:val="005727EB"/>
    <w:rsid w:val="005808D9"/>
    <w:rsid w:val="0059125B"/>
    <w:rsid w:val="005A2673"/>
    <w:rsid w:val="005B1803"/>
    <w:rsid w:val="005B243A"/>
    <w:rsid w:val="005C2A3B"/>
    <w:rsid w:val="005D631E"/>
    <w:rsid w:val="005E4D74"/>
    <w:rsid w:val="005F16F7"/>
    <w:rsid w:val="005F4006"/>
    <w:rsid w:val="00603F42"/>
    <w:rsid w:val="00625D33"/>
    <w:rsid w:val="00630011"/>
    <w:rsid w:val="00630287"/>
    <w:rsid w:val="006338E8"/>
    <w:rsid w:val="00650FE3"/>
    <w:rsid w:val="00661335"/>
    <w:rsid w:val="00683DBD"/>
    <w:rsid w:val="00686491"/>
    <w:rsid w:val="00687DCA"/>
    <w:rsid w:val="00692EE6"/>
    <w:rsid w:val="00693552"/>
    <w:rsid w:val="006961C9"/>
    <w:rsid w:val="006A3B57"/>
    <w:rsid w:val="006B1EA1"/>
    <w:rsid w:val="006B22CF"/>
    <w:rsid w:val="006C01FE"/>
    <w:rsid w:val="006D3906"/>
    <w:rsid w:val="006F1D77"/>
    <w:rsid w:val="006F5D84"/>
    <w:rsid w:val="00703422"/>
    <w:rsid w:val="00721D22"/>
    <w:rsid w:val="0073296A"/>
    <w:rsid w:val="00734932"/>
    <w:rsid w:val="0073624E"/>
    <w:rsid w:val="00736ADE"/>
    <w:rsid w:val="00753B15"/>
    <w:rsid w:val="007619FD"/>
    <w:rsid w:val="007717AB"/>
    <w:rsid w:val="00773BAB"/>
    <w:rsid w:val="00774763"/>
    <w:rsid w:val="00786542"/>
    <w:rsid w:val="00792709"/>
    <w:rsid w:val="007A54B4"/>
    <w:rsid w:val="007B01BF"/>
    <w:rsid w:val="007B5BF7"/>
    <w:rsid w:val="007B686F"/>
    <w:rsid w:val="007C6627"/>
    <w:rsid w:val="007E1992"/>
    <w:rsid w:val="007E50C6"/>
    <w:rsid w:val="008037E6"/>
    <w:rsid w:val="008060D5"/>
    <w:rsid w:val="0082695C"/>
    <w:rsid w:val="0084206D"/>
    <w:rsid w:val="00851130"/>
    <w:rsid w:val="00855770"/>
    <w:rsid w:val="00856802"/>
    <w:rsid w:val="0086467D"/>
    <w:rsid w:val="00884865"/>
    <w:rsid w:val="008A1B41"/>
    <w:rsid w:val="008A48FB"/>
    <w:rsid w:val="008C46E3"/>
    <w:rsid w:val="008D41D4"/>
    <w:rsid w:val="008D58DB"/>
    <w:rsid w:val="008E223F"/>
    <w:rsid w:val="008E3111"/>
    <w:rsid w:val="0090460B"/>
    <w:rsid w:val="0091197C"/>
    <w:rsid w:val="009129E6"/>
    <w:rsid w:val="0091620F"/>
    <w:rsid w:val="00925BD4"/>
    <w:rsid w:val="00933036"/>
    <w:rsid w:val="00944A2B"/>
    <w:rsid w:val="009471FF"/>
    <w:rsid w:val="00947D10"/>
    <w:rsid w:val="00963B82"/>
    <w:rsid w:val="00983788"/>
    <w:rsid w:val="00987F45"/>
    <w:rsid w:val="009906C6"/>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728D7"/>
    <w:rsid w:val="00A74413"/>
    <w:rsid w:val="00A83F8E"/>
    <w:rsid w:val="00A92ABC"/>
    <w:rsid w:val="00A97B59"/>
    <w:rsid w:val="00A97F8C"/>
    <w:rsid w:val="00AA3E8E"/>
    <w:rsid w:val="00AA75A7"/>
    <w:rsid w:val="00AB22E5"/>
    <w:rsid w:val="00AB6C02"/>
    <w:rsid w:val="00AC0D6C"/>
    <w:rsid w:val="00AC1122"/>
    <w:rsid w:val="00AD0CB5"/>
    <w:rsid w:val="00AE7C1B"/>
    <w:rsid w:val="00B01FEC"/>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BC47C9"/>
    <w:rsid w:val="00C012BE"/>
    <w:rsid w:val="00C10B3C"/>
    <w:rsid w:val="00C12AD6"/>
    <w:rsid w:val="00C152B0"/>
    <w:rsid w:val="00C26592"/>
    <w:rsid w:val="00C50EAE"/>
    <w:rsid w:val="00C63D6F"/>
    <w:rsid w:val="00C75B36"/>
    <w:rsid w:val="00C76FF9"/>
    <w:rsid w:val="00C810C7"/>
    <w:rsid w:val="00C86BE2"/>
    <w:rsid w:val="00C90131"/>
    <w:rsid w:val="00CA571F"/>
    <w:rsid w:val="00CB2878"/>
    <w:rsid w:val="00CE1D0D"/>
    <w:rsid w:val="00CE5DC6"/>
    <w:rsid w:val="00CF5274"/>
    <w:rsid w:val="00D174E9"/>
    <w:rsid w:val="00D20E80"/>
    <w:rsid w:val="00D30F99"/>
    <w:rsid w:val="00D34140"/>
    <w:rsid w:val="00D36F60"/>
    <w:rsid w:val="00D473F2"/>
    <w:rsid w:val="00D55B62"/>
    <w:rsid w:val="00D7115C"/>
    <w:rsid w:val="00D87D1E"/>
    <w:rsid w:val="00D940F7"/>
    <w:rsid w:val="00D94FC9"/>
    <w:rsid w:val="00DA3CBB"/>
    <w:rsid w:val="00DA61D7"/>
    <w:rsid w:val="00DB0565"/>
    <w:rsid w:val="00DB315D"/>
    <w:rsid w:val="00DB7ABE"/>
    <w:rsid w:val="00DC5C8E"/>
    <w:rsid w:val="00DC732B"/>
    <w:rsid w:val="00E02E5F"/>
    <w:rsid w:val="00E04B7E"/>
    <w:rsid w:val="00E068B7"/>
    <w:rsid w:val="00E10FF1"/>
    <w:rsid w:val="00E16828"/>
    <w:rsid w:val="00E2091C"/>
    <w:rsid w:val="00E2595C"/>
    <w:rsid w:val="00E264A6"/>
    <w:rsid w:val="00E31974"/>
    <w:rsid w:val="00E36E40"/>
    <w:rsid w:val="00E427EA"/>
    <w:rsid w:val="00E4345B"/>
    <w:rsid w:val="00E52E6D"/>
    <w:rsid w:val="00E53F4A"/>
    <w:rsid w:val="00E674D3"/>
    <w:rsid w:val="00E71E6D"/>
    <w:rsid w:val="00EA701A"/>
    <w:rsid w:val="00EC58EA"/>
    <w:rsid w:val="00ED1804"/>
    <w:rsid w:val="00EE36D1"/>
    <w:rsid w:val="00EE6C68"/>
    <w:rsid w:val="00EF059E"/>
    <w:rsid w:val="00F111F5"/>
    <w:rsid w:val="00F23AC3"/>
    <w:rsid w:val="00F24F32"/>
    <w:rsid w:val="00F256CA"/>
    <w:rsid w:val="00F31307"/>
    <w:rsid w:val="00F330C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 w:type="paragraph" w:styleId="NormalWeb">
    <w:name w:val="Normal (Web)"/>
    <w:basedOn w:val="Normal"/>
    <w:uiPriority w:val="99"/>
    <w:semiHidden/>
    <w:unhideWhenUsed/>
    <w:rsid w:val="005D631E"/>
    <w:pPr>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565704">
      <w:bodyDiv w:val="1"/>
      <w:marLeft w:val="0"/>
      <w:marRight w:val="0"/>
      <w:marTop w:val="0"/>
      <w:marBottom w:val="0"/>
      <w:divBdr>
        <w:top w:val="none" w:sz="0" w:space="0" w:color="auto"/>
        <w:left w:val="none" w:sz="0" w:space="0" w:color="auto"/>
        <w:bottom w:val="none" w:sz="0" w:space="0" w:color="auto"/>
        <w:right w:val="none" w:sz="0" w:space="0" w:color="auto"/>
      </w:divBdr>
      <w:divsChild>
        <w:div w:id="1236625795">
          <w:marLeft w:val="360"/>
          <w:marRight w:val="0"/>
          <w:marTop w:val="200"/>
          <w:marBottom w:val="0"/>
          <w:divBdr>
            <w:top w:val="none" w:sz="0" w:space="0" w:color="auto"/>
            <w:left w:val="none" w:sz="0" w:space="0" w:color="auto"/>
            <w:bottom w:val="none" w:sz="0" w:space="0" w:color="auto"/>
            <w:right w:val="none" w:sz="0" w:space="0" w:color="auto"/>
          </w:divBdr>
        </w:div>
        <w:div w:id="662469982">
          <w:marLeft w:val="360"/>
          <w:marRight w:val="0"/>
          <w:marTop w:val="200"/>
          <w:marBottom w:val="0"/>
          <w:divBdr>
            <w:top w:val="none" w:sz="0" w:space="0" w:color="auto"/>
            <w:left w:val="none" w:sz="0" w:space="0" w:color="auto"/>
            <w:bottom w:val="none" w:sz="0" w:space="0" w:color="auto"/>
            <w:right w:val="none" w:sz="0" w:space="0" w:color="auto"/>
          </w:divBdr>
        </w:div>
      </w:divsChild>
    </w:div>
    <w:div w:id="1137451934">
      <w:bodyDiv w:val="1"/>
      <w:marLeft w:val="0"/>
      <w:marRight w:val="0"/>
      <w:marTop w:val="0"/>
      <w:marBottom w:val="0"/>
      <w:divBdr>
        <w:top w:val="none" w:sz="0" w:space="0" w:color="auto"/>
        <w:left w:val="none" w:sz="0" w:space="0" w:color="auto"/>
        <w:bottom w:val="none" w:sz="0" w:space="0" w:color="auto"/>
        <w:right w:val="none" w:sz="0" w:space="0" w:color="auto"/>
      </w:divBdr>
      <w:divsChild>
        <w:div w:id="102069769">
          <w:marLeft w:val="806"/>
          <w:marRight w:val="0"/>
          <w:marTop w:val="200"/>
          <w:marBottom w:val="0"/>
          <w:divBdr>
            <w:top w:val="none" w:sz="0" w:space="0" w:color="auto"/>
            <w:left w:val="none" w:sz="0" w:space="0" w:color="auto"/>
            <w:bottom w:val="none" w:sz="0" w:space="0" w:color="auto"/>
            <w:right w:val="none" w:sz="0" w:space="0" w:color="auto"/>
          </w:divBdr>
        </w:div>
        <w:div w:id="933128147">
          <w:marLeft w:val="806"/>
          <w:marRight w:val="0"/>
          <w:marTop w:val="200"/>
          <w:marBottom w:val="0"/>
          <w:divBdr>
            <w:top w:val="none" w:sz="0" w:space="0" w:color="auto"/>
            <w:left w:val="none" w:sz="0" w:space="0" w:color="auto"/>
            <w:bottom w:val="none" w:sz="0" w:space="0" w:color="auto"/>
            <w:right w:val="none" w:sz="0" w:space="0" w:color="auto"/>
          </w:divBdr>
        </w:div>
        <w:div w:id="17434283">
          <w:marLeft w:val="806"/>
          <w:marRight w:val="0"/>
          <w:marTop w:val="200"/>
          <w:marBottom w:val="0"/>
          <w:divBdr>
            <w:top w:val="none" w:sz="0" w:space="0" w:color="auto"/>
            <w:left w:val="none" w:sz="0" w:space="0" w:color="auto"/>
            <w:bottom w:val="none" w:sz="0" w:space="0" w:color="auto"/>
            <w:right w:val="none" w:sz="0" w:space="0" w:color="auto"/>
          </w:divBdr>
        </w:div>
        <w:div w:id="376785326">
          <w:marLeft w:val="806"/>
          <w:marRight w:val="0"/>
          <w:marTop w:val="200"/>
          <w:marBottom w:val="0"/>
          <w:divBdr>
            <w:top w:val="none" w:sz="0" w:space="0" w:color="auto"/>
            <w:left w:val="none" w:sz="0" w:space="0" w:color="auto"/>
            <w:bottom w:val="none" w:sz="0" w:space="0" w:color="auto"/>
            <w:right w:val="none" w:sz="0" w:space="0" w:color="auto"/>
          </w:divBdr>
        </w:div>
      </w:divsChild>
    </w:div>
    <w:div w:id="12372061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491</TotalTime>
  <Pages>3</Pages>
  <Words>1007</Words>
  <Characters>5746</Characters>
  <Application>Microsoft Office Word</Application>
  <DocSecurity>0</DocSecurity>
  <Lines>47</Lines>
  <Paragraphs>13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6740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Catherine Drysdale</cp:lastModifiedBy>
  <cp:revision>13</cp:revision>
  <cp:lastPrinted>2016-11-07T11:47:00Z</cp:lastPrinted>
  <dcterms:created xsi:type="dcterms:W3CDTF">2021-12-10T11:47:00Z</dcterms:created>
  <dcterms:modified xsi:type="dcterms:W3CDTF">2023-11-12T23:29:00Z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