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1159B29D"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CD130D">
        <w:rPr>
          <w:color w:val="56585B"/>
          <w:sz w:val="22"/>
        </w:rPr>
        <w:t>CA18232</w:t>
      </w:r>
    </w:p>
    <w:p w14:paraId="55DA1F87" w14:textId="2AA4C077"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CD130D">
        <w:rPr>
          <w:color w:val="56585B"/>
          <w:sz w:val="22"/>
        </w:rPr>
        <w:t>Sedef ÖZCAN</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42F31667"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CD130D">
              <w:rPr>
                <w:b w:val="0"/>
                <w:bCs/>
                <w:color w:val="56585B"/>
                <w:sz w:val="20"/>
                <w:szCs w:val="18"/>
              </w:rPr>
              <w:t xml:space="preserve"> </w:t>
            </w:r>
            <w:r w:rsidR="00CD130D">
              <w:rPr>
                <w:b w:val="0"/>
                <w:color w:val="56585B"/>
                <w:sz w:val="20"/>
                <w:szCs w:val="20"/>
                <w:u w:color="56585B"/>
                <w:lang w:val="de-DE"/>
              </w:rPr>
              <w:t>Interplay of geometry and observability of magnetic Schrödinger semigroups</w:t>
            </w:r>
          </w:p>
          <w:p w14:paraId="3D3CB4AE" w14:textId="64E1DCF5" w:rsidR="00855770" w:rsidRPr="008A5557" w:rsidRDefault="00855770" w:rsidP="00AB307A">
            <w:pPr>
              <w:spacing w:before="120"/>
              <w:rPr>
                <w:b/>
                <w:sz w:val="22"/>
                <w:u w:val="single"/>
              </w:rPr>
            </w:pPr>
            <w:r>
              <w:rPr>
                <w:bCs/>
                <w:color w:val="56585B"/>
                <w:szCs w:val="18"/>
              </w:rPr>
              <w:t>S</w:t>
            </w:r>
            <w:r w:rsidRPr="004B1C13">
              <w:rPr>
                <w:bCs/>
                <w:color w:val="56585B"/>
                <w:szCs w:val="18"/>
              </w:rPr>
              <w:t xml:space="preserve">tart and end date: </w:t>
            </w:r>
            <w:r w:rsidR="00CD130D">
              <w:rPr>
                <w:color w:val="56585B"/>
                <w:u w:color="56585B"/>
                <w:lang w:val="de-DE"/>
              </w:rPr>
              <w:t>15</w:t>
            </w:r>
            <w:r w:rsidR="00CD130D">
              <w:rPr>
                <w:color w:val="56585B"/>
                <w:u w:color="56585B"/>
              </w:rPr>
              <w:t>/</w:t>
            </w:r>
            <w:r w:rsidR="00CD130D">
              <w:rPr>
                <w:color w:val="56585B"/>
                <w:u w:color="56585B"/>
                <w:lang w:val="de-DE"/>
              </w:rPr>
              <w:t>10</w:t>
            </w:r>
            <w:r w:rsidR="00CD130D">
              <w:rPr>
                <w:color w:val="56585B"/>
                <w:u w:color="56585B"/>
              </w:rPr>
              <w:t>/</w:t>
            </w:r>
            <w:r w:rsidR="00CD130D">
              <w:rPr>
                <w:color w:val="56585B"/>
                <w:u w:color="56585B"/>
                <w:lang w:val="de-DE"/>
              </w:rPr>
              <w:t>2023</w:t>
            </w:r>
            <w:r w:rsidR="00CD130D">
              <w:rPr>
                <w:color w:val="56585B"/>
                <w:u w:color="56585B"/>
              </w:rPr>
              <w:t xml:space="preserve"> to </w:t>
            </w:r>
            <w:r w:rsidR="00CD130D">
              <w:rPr>
                <w:color w:val="56585B"/>
                <w:u w:color="56585B"/>
                <w:lang w:val="de-DE"/>
              </w:rPr>
              <w:t>21</w:t>
            </w:r>
            <w:r w:rsidR="00CD130D">
              <w:rPr>
                <w:color w:val="56585B"/>
                <w:u w:color="56585B"/>
              </w:rPr>
              <w:t>/</w:t>
            </w:r>
            <w:r w:rsidR="00CD130D">
              <w:rPr>
                <w:color w:val="56585B"/>
                <w:u w:color="56585B"/>
                <w:lang w:val="de-DE"/>
              </w:rPr>
              <w:t>10</w:t>
            </w:r>
            <w:r w:rsidR="00CD130D">
              <w:rPr>
                <w:color w:val="56585B"/>
                <w:u w:color="56585B"/>
              </w:rPr>
              <w:t>/</w:t>
            </w:r>
            <w:r w:rsidR="00CD130D">
              <w:rPr>
                <w:color w:val="56585B"/>
                <w:u w:color="56585B"/>
                <w:lang w:val="de-DE"/>
              </w:rPr>
              <w:t>2023</w:t>
            </w:r>
          </w:p>
        </w:tc>
      </w:tr>
      <w:tr w:rsidR="00855770" w:rsidRPr="00681CA3" w14:paraId="6604A4A6" w14:textId="77777777" w:rsidTr="00AB307A">
        <w:tc>
          <w:tcPr>
            <w:tcW w:w="9356" w:type="dxa"/>
            <w:tcBorders>
              <w:bottom w:val="nil"/>
            </w:tcBorders>
          </w:tcPr>
          <w:p w14:paraId="6FCEBE53" w14:textId="32B2192D"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757C925C" w14:textId="2D11180B" w:rsidR="00D37FE6" w:rsidRDefault="00D37FE6" w:rsidP="00AB307A">
            <w:pPr>
              <w:spacing w:before="120"/>
              <w:rPr>
                <w:rFonts w:ascii="ArialMT" w:eastAsiaTheme="minorEastAsia" w:hAnsi="ArialMT" w:cs="ArialMT" w:hint="eastAsia"/>
                <w:color w:val="656966"/>
              </w:rPr>
            </w:pPr>
            <w:r>
              <w:rPr>
                <w:rFonts w:ascii="ArialMT" w:eastAsiaTheme="minorEastAsia" w:hAnsi="ArialMT" w:cs="ArialMT"/>
                <w:color w:val="656966"/>
              </w:rPr>
              <w:t>Description of the activities carried out during the STSM. Any deviations from the initial working plan shall also be described in this section.</w:t>
            </w:r>
          </w:p>
          <w:p w14:paraId="7BEF3DB5" w14:textId="77777777" w:rsidR="00D37FE6" w:rsidRPr="00AB7D5B" w:rsidRDefault="00D37FE6" w:rsidP="00D37FE6">
            <w:pPr>
              <w:spacing w:before="120"/>
              <w:rPr>
                <w:i/>
                <w:iCs/>
              </w:rPr>
            </w:pPr>
            <w:r w:rsidRPr="00AB7D5B">
              <w:rPr>
                <w:i/>
                <w:iCs/>
              </w:rPr>
              <w:t>(max.</w:t>
            </w:r>
            <w:r>
              <w:rPr>
                <w:i/>
                <w:iCs/>
              </w:rPr>
              <w:t xml:space="preserve"> </w:t>
            </w:r>
            <w:r w:rsidRPr="00AB7D5B">
              <w:rPr>
                <w:i/>
                <w:iCs/>
              </w:rPr>
              <w:t xml:space="preserve">500 words) </w:t>
            </w:r>
          </w:p>
          <w:p w14:paraId="241F3374" w14:textId="77777777" w:rsidR="00D37FE6" w:rsidRDefault="00D37FE6" w:rsidP="00D37FE6">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03D43B49" w14:textId="77777777" w:rsidR="00D37FE6" w:rsidRDefault="00D37FE6" w:rsidP="00AB307A">
            <w:pPr>
              <w:spacing w:before="120"/>
              <w:rPr>
                <w:b/>
                <w:sz w:val="22"/>
                <w:szCs w:val="24"/>
                <w:u w:val="single"/>
              </w:rPr>
            </w:pPr>
          </w:p>
          <w:p w14:paraId="4948933F" w14:textId="7DAEFBE6" w:rsidR="00CD130D" w:rsidRPr="00CD130D" w:rsidRDefault="00CD130D" w:rsidP="00CD130D">
            <w:pPr>
              <w:spacing w:before="120"/>
              <w:rPr>
                <w:rFonts w:eastAsia="Calibri"/>
                <w:color w:val="000000"/>
              </w:rPr>
            </w:pPr>
            <w:r w:rsidRPr="00CD130D">
              <w:rPr>
                <w:rFonts w:eastAsia="Calibri"/>
                <w:color w:val="000000"/>
              </w:rPr>
              <w:t xml:space="preserve">S. </w:t>
            </w:r>
            <w:proofErr w:type="spellStart"/>
            <w:r w:rsidRPr="00CD130D">
              <w:rPr>
                <w:rFonts w:eastAsia="Calibri"/>
                <w:color w:val="000000"/>
              </w:rPr>
              <w:t>Özcan</w:t>
            </w:r>
            <w:proofErr w:type="spellEnd"/>
            <w:r w:rsidRPr="00CD130D">
              <w:rPr>
                <w:rFonts w:eastAsia="Calibri"/>
                <w:color w:val="000000"/>
              </w:rPr>
              <w:t xml:space="preserve"> (</w:t>
            </w:r>
            <w:proofErr w:type="spellStart"/>
            <w:r w:rsidRPr="00CD130D">
              <w:rPr>
                <w:rFonts w:eastAsia="Calibri"/>
                <w:color w:val="000000"/>
              </w:rPr>
              <w:t>Dokuz</w:t>
            </w:r>
            <w:proofErr w:type="spellEnd"/>
            <w:r w:rsidRPr="00CD130D">
              <w:rPr>
                <w:rFonts w:eastAsia="Calibri"/>
                <w:color w:val="000000"/>
              </w:rPr>
              <w:t xml:space="preserve"> </w:t>
            </w:r>
            <w:proofErr w:type="spellStart"/>
            <w:r w:rsidRPr="00CD130D">
              <w:rPr>
                <w:rFonts w:eastAsia="Calibri"/>
                <w:color w:val="000000"/>
              </w:rPr>
              <w:t>Eylul</w:t>
            </w:r>
            <w:proofErr w:type="spellEnd"/>
            <w:r w:rsidRPr="00CD130D">
              <w:rPr>
                <w:rFonts w:eastAsia="Calibri"/>
                <w:color w:val="000000"/>
              </w:rPr>
              <w:t xml:space="preserve"> University, Turkey) visited M. </w:t>
            </w:r>
            <w:proofErr w:type="spellStart"/>
            <w:r w:rsidRPr="00CD130D">
              <w:rPr>
                <w:rFonts w:eastAsia="Calibri"/>
                <w:color w:val="000000"/>
              </w:rPr>
              <w:t>Täufer</w:t>
            </w:r>
            <w:proofErr w:type="spellEnd"/>
            <w:r w:rsidRPr="00CD130D">
              <w:rPr>
                <w:rFonts w:eastAsia="Calibri"/>
                <w:color w:val="000000"/>
              </w:rPr>
              <w:t xml:space="preserve"> (University of Hagen, Germany) during the STSM in order </w:t>
            </w:r>
            <w:r w:rsidRPr="00CD130D">
              <w:rPr>
                <w:iCs/>
                <w:lang w:val="de-DE"/>
              </w:rPr>
              <w:t xml:space="preserve">to initiate a new joint research project by members of FernUniversität in Hagen, Germany and </w:t>
            </w:r>
            <w:proofErr w:type="spellStart"/>
            <w:r w:rsidRPr="00CD130D">
              <w:rPr>
                <w:iCs/>
              </w:rPr>
              <w:t>Dokuz</w:t>
            </w:r>
            <w:proofErr w:type="spellEnd"/>
            <w:r w:rsidRPr="00CD130D">
              <w:rPr>
                <w:iCs/>
                <w:lang w:val="de-DE"/>
              </w:rPr>
              <w:t xml:space="preserve"> </w:t>
            </w:r>
            <w:proofErr w:type="spellStart"/>
            <w:r w:rsidRPr="00CD130D">
              <w:rPr>
                <w:iCs/>
              </w:rPr>
              <w:t>Eylul</w:t>
            </w:r>
            <w:proofErr w:type="spellEnd"/>
            <w:r w:rsidRPr="00CD130D">
              <w:rPr>
                <w:iCs/>
                <w:lang w:val="de-DE"/>
              </w:rPr>
              <w:t xml:space="preserve"> </w:t>
            </w:r>
            <w:r w:rsidRPr="00CD130D">
              <w:rPr>
                <w:iCs/>
              </w:rPr>
              <w:t>University</w:t>
            </w:r>
            <w:r w:rsidRPr="00CD130D">
              <w:rPr>
                <w:iCs/>
                <w:lang w:val="de-DE"/>
              </w:rPr>
              <w:t xml:space="preserve"> in the context of the applicant’s PhD project</w:t>
            </w:r>
            <w:r w:rsidRPr="00CD130D">
              <w:rPr>
                <w:rFonts w:eastAsia="Calibri"/>
                <w:color w:val="000000"/>
              </w:rPr>
              <w:t>.</w:t>
            </w:r>
          </w:p>
          <w:p w14:paraId="7B75B3C2" w14:textId="258A4553" w:rsidR="00CD130D" w:rsidRDefault="00365AE5" w:rsidP="00CD130D">
            <w:pPr>
              <w:spacing w:before="120"/>
              <w:rPr>
                <w:rFonts w:eastAsia="Calibri"/>
                <w:color w:val="000000"/>
              </w:rPr>
            </w:pPr>
            <w:r>
              <w:rPr>
                <w:rFonts w:eastAsia="Calibri"/>
                <w:color w:val="000000"/>
              </w:rPr>
              <w:t>We had formulated four</w:t>
            </w:r>
            <w:r w:rsidR="00CD130D" w:rsidRPr="00CD130D">
              <w:rPr>
                <w:rFonts w:eastAsia="Calibri"/>
                <w:color w:val="000000"/>
              </w:rPr>
              <w:t xml:space="preserve"> research questions and intended to achieve progress on at least two of them.</w:t>
            </w:r>
          </w:p>
          <w:p w14:paraId="56689764" w14:textId="3C57ED6F" w:rsidR="00CD130D" w:rsidRDefault="00CD130D" w:rsidP="00CD130D">
            <w:pPr>
              <w:spacing w:before="120"/>
              <w:rPr>
                <w:iCs/>
                <w:lang w:val="de-DE"/>
              </w:rPr>
            </w:pPr>
            <w:r w:rsidRPr="00434604">
              <w:rPr>
                <w:rFonts w:eastAsia="Calibri"/>
                <w:color w:val="000000"/>
              </w:rPr>
              <w:t xml:space="preserve">As for the first question, </w:t>
            </w:r>
            <w:r w:rsidR="00434604" w:rsidRPr="00434604">
              <w:rPr>
                <w:rFonts w:eastAsia="Calibri"/>
                <w:color w:val="000000"/>
              </w:rPr>
              <w:t xml:space="preserve">we </w:t>
            </w:r>
            <w:r w:rsidR="00D07A1C">
              <w:rPr>
                <w:rFonts w:eastAsia="Calibri"/>
                <w:color w:val="000000"/>
              </w:rPr>
              <w:t>managed to</w:t>
            </w:r>
            <w:r w:rsidR="00434604">
              <w:rPr>
                <w:iCs/>
                <w:lang w:val="de-DE"/>
              </w:rPr>
              <w:t xml:space="preserve"> generalize</w:t>
            </w:r>
            <w:r w:rsidR="00434604" w:rsidRPr="00434604">
              <w:rPr>
                <w:iCs/>
                <w:lang w:val="de-DE"/>
              </w:rPr>
              <w:t xml:space="preserve"> magnetic Bernstein inequalities to three dimensions</w:t>
            </w:r>
            <w:r w:rsidR="00434604">
              <w:rPr>
                <w:iCs/>
                <w:lang w:val="de-DE"/>
              </w:rPr>
              <w:t>. While many steps resembled the two dimensional magnetic Bernstein i</w:t>
            </w:r>
            <w:r w:rsidR="00434604" w:rsidRPr="00434604">
              <w:rPr>
                <w:iCs/>
                <w:lang w:val="de-DE"/>
              </w:rPr>
              <w:t xml:space="preserve">nequality, unexpectedly, proving </w:t>
            </w:r>
            <w:r w:rsidR="00434604" w:rsidRPr="00A522B8">
              <w:rPr>
                <w:iCs/>
                <w:color w:val="auto"/>
                <w:lang w:val="de-DE"/>
              </w:rPr>
              <w:t>it in three dimensions required significantly more time and effort.</w:t>
            </w:r>
            <w:r w:rsidR="00A522B8" w:rsidRPr="00A522B8">
              <w:rPr>
                <w:iCs/>
                <w:color w:val="auto"/>
                <w:lang w:val="de-DE"/>
              </w:rPr>
              <w:t xml:space="preserve"> In contrast to the two-dimensional scenario, where the emergence of powers of the Landau operator in Bernstein inequalities was a surprising and natural occurrence, in the case of three dimensions, it necessitated the utilization of appropriate estimates.</w:t>
            </w:r>
            <w:r w:rsidR="00A522B8">
              <w:rPr>
                <w:iCs/>
                <w:color w:val="auto"/>
                <w:lang w:val="de-DE"/>
              </w:rPr>
              <w:t xml:space="preserve"> </w:t>
            </w:r>
            <w:r w:rsidR="00A522B8" w:rsidRPr="00A522B8">
              <w:rPr>
                <w:iCs/>
                <w:color w:val="auto"/>
                <w:lang w:val="de-DE"/>
              </w:rPr>
              <w:t>It necessitated a process of trial and error before we came to the realization that obtaining powers of the Landau operator was not a straightforward approach, and instead, we needed to delve into the understanding of magnetic Sobolev spaces</w:t>
            </w:r>
            <w:r w:rsidR="00A522B8">
              <w:rPr>
                <w:iCs/>
                <w:color w:val="auto"/>
                <w:lang w:val="de-DE"/>
              </w:rPr>
              <w:t xml:space="preserve"> </w:t>
            </w:r>
            <w:r w:rsidR="00A522B8" w:rsidRPr="00A522B8">
              <w:rPr>
                <w:iCs/>
                <w:color w:val="auto"/>
                <w:lang w:val="de-DE"/>
              </w:rPr>
              <w:t>which, in a certain aspect, can be considered an analogous counterpart to the Schwarz space in two dimensions.</w:t>
            </w:r>
          </w:p>
          <w:p w14:paraId="1A5193BE" w14:textId="2A274FEB" w:rsidR="00D07A1C" w:rsidRDefault="00D07A1C" w:rsidP="00CD130D">
            <w:pPr>
              <w:spacing w:before="120"/>
              <w:rPr>
                <w:iCs/>
                <w:lang w:val="de-DE"/>
              </w:rPr>
            </w:pPr>
            <w:r w:rsidRPr="00D07A1C">
              <w:rPr>
                <w:iCs/>
                <w:lang w:val="de-DE"/>
              </w:rPr>
              <w:t>We later reviewed the remaining portions of the proof that needed modification. We had extensive discussions, particularly regar</w:t>
            </w:r>
            <w:r>
              <w:rPr>
                <w:iCs/>
                <w:lang w:val="de-DE"/>
              </w:rPr>
              <w:t xml:space="preserve">ding the analytical part. </w:t>
            </w:r>
            <w:r w:rsidR="00322B96">
              <w:rPr>
                <w:iCs/>
                <w:lang w:val="de-DE"/>
              </w:rPr>
              <w:t>We also meet</w:t>
            </w:r>
            <w:r w:rsidRPr="00D07A1C">
              <w:rPr>
                <w:iCs/>
                <w:lang w:val="de-DE"/>
              </w:rPr>
              <w:t xml:space="preserve"> A. Seelman, who</w:t>
            </w:r>
            <w:r w:rsidR="00322B96">
              <w:rPr>
                <w:iCs/>
                <w:lang w:val="de-DE"/>
              </w:rPr>
              <w:t xml:space="preserve"> is at Dortmund </w:t>
            </w:r>
            <w:r w:rsidR="00322B96">
              <w:rPr>
                <w:iCs/>
                <w:lang w:val="de-DE"/>
              </w:rPr>
              <w:lastRenderedPageBreak/>
              <w:t xml:space="preserve">University of Technology. He </w:t>
            </w:r>
            <w:r w:rsidRPr="00D07A1C">
              <w:rPr>
                <w:iCs/>
                <w:lang w:val="de-DE"/>
              </w:rPr>
              <w:t xml:space="preserve"> possesses deep knowledge about the Logvinenko-Sereda type theorems, </w:t>
            </w:r>
            <w:r w:rsidRPr="00A522B8">
              <w:rPr>
                <w:iCs/>
                <w:color w:val="auto"/>
                <w:lang w:val="de-DE"/>
              </w:rPr>
              <w:t>to discuss the remaining parts of the proof.</w:t>
            </w:r>
            <w:r w:rsidR="00365AE5" w:rsidRPr="00A522B8">
              <w:rPr>
                <w:iCs/>
                <w:color w:val="auto"/>
                <w:lang w:val="de-DE"/>
              </w:rPr>
              <w:t xml:space="preserve"> </w:t>
            </w:r>
            <w:r w:rsidR="00A522B8" w:rsidRPr="00A522B8">
              <w:rPr>
                <w:rFonts w:cs="Arial"/>
                <w:color w:val="auto"/>
                <w:shd w:val="clear" w:color="auto" w:fill="FFFFFF"/>
              </w:rPr>
              <w:t xml:space="preserve">We also had a fruitful discussion with A. </w:t>
            </w:r>
            <w:proofErr w:type="spellStart"/>
            <w:r w:rsidR="00A522B8" w:rsidRPr="00A522B8">
              <w:rPr>
                <w:rFonts w:cs="Arial"/>
                <w:color w:val="auto"/>
                <w:shd w:val="clear" w:color="auto" w:fill="FFFFFF"/>
              </w:rPr>
              <w:t>Seelmann</w:t>
            </w:r>
            <w:proofErr w:type="spellEnd"/>
            <w:r w:rsidR="00A522B8" w:rsidRPr="00A522B8">
              <w:rPr>
                <w:rFonts w:cs="Arial"/>
                <w:color w:val="auto"/>
                <w:shd w:val="clear" w:color="auto" w:fill="FFFFFF"/>
              </w:rPr>
              <w:t xml:space="preserve"> about using a similar technical approach for Schrödinger operators with potentials. This might lead to some progress on the notoriously hard problem of generalizing the </w:t>
            </w:r>
            <w:proofErr w:type="spellStart"/>
            <w:r w:rsidR="00A522B8" w:rsidRPr="00A522B8">
              <w:rPr>
                <w:rFonts w:cs="Arial"/>
                <w:color w:val="auto"/>
                <w:shd w:val="clear" w:color="auto" w:fill="FFFFFF"/>
              </w:rPr>
              <w:t>Logvinenko-Sereda</w:t>
            </w:r>
            <w:proofErr w:type="spellEnd"/>
            <w:r w:rsidR="00A522B8" w:rsidRPr="00A522B8">
              <w:rPr>
                <w:rFonts w:cs="Arial"/>
                <w:color w:val="auto"/>
                <w:shd w:val="clear" w:color="auto" w:fill="FFFFFF"/>
              </w:rPr>
              <w:t xml:space="preserve"> theorem to nonzero potential.</w:t>
            </w:r>
          </w:p>
          <w:p w14:paraId="491EC6B6" w14:textId="6166B8DA" w:rsidR="00A522B8" w:rsidRPr="00A522B8" w:rsidRDefault="00A522B8" w:rsidP="00CD130D">
            <w:pPr>
              <w:spacing w:before="120"/>
              <w:rPr>
                <w:rFonts w:cs="Arial"/>
                <w:color w:val="auto"/>
                <w:shd w:val="clear" w:color="auto" w:fill="FFFFFF"/>
              </w:rPr>
            </w:pPr>
            <w:r w:rsidRPr="00A522B8">
              <w:rPr>
                <w:rFonts w:cs="Arial"/>
                <w:color w:val="auto"/>
                <w:shd w:val="clear" w:color="auto" w:fill="FFFFFF"/>
              </w:rPr>
              <w:t>We also discussed and performed some calculations for higher-dimensional Schrödinger operators with constant magnetic field. The difficulty beyond the two- and three-dimensional case is that more than the Lie algebra of magnetic derivatives will necessarily include more than one nontrivial commutator relation</w:t>
            </w:r>
            <w:r w:rsidRPr="00A522B8">
              <w:rPr>
                <w:rFonts w:cs="Arial"/>
                <w:color w:val="auto"/>
                <w:shd w:val="clear" w:color="auto" w:fill="FFFFFF"/>
              </w:rPr>
              <w:t>.</w:t>
            </w:r>
          </w:p>
          <w:p w14:paraId="1327B464" w14:textId="45B4BB55" w:rsidR="00365AE5" w:rsidRDefault="00365AE5" w:rsidP="00CD130D">
            <w:pPr>
              <w:spacing w:before="120"/>
              <w:rPr>
                <w:iCs/>
                <w:lang w:val="de-DE"/>
              </w:rPr>
            </w:pPr>
            <w:r>
              <w:rPr>
                <w:iCs/>
                <w:lang w:val="de-DE"/>
              </w:rPr>
              <w:t>W</w:t>
            </w:r>
            <w:r w:rsidRPr="00365AE5">
              <w:rPr>
                <w:iCs/>
                <w:lang w:val="de-DE"/>
              </w:rPr>
              <w:t xml:space="preserve">e </w:t>
            </w:r>
            <w:r>
              <w:rPr>
                <w:iCs/>
                <w:lang w:val="de-DE"/>
              </w:rPr>
              <w:t>discussed</w:t>
            </w:r>
            <w:r w:rsidRPr="00365AE5">
              <w:rPr>
                <w:iCs/>
                <w:lang w:val="de-DE"/>
              </w:rPr>
              <w:t xml:space="preserve"> some consequences such as optimal criteria for controllability of magnetic heat equations. </w:t>
            </w:r>
            <w:r w:rsidRPr="00A522B8">
              <w:rPr>
                <w:iCs/>
                <w:color w:val="auto"/>
                <w:lang w:val="de-DE"/>
              </w:rPr>
              <w:t>The proofs uses the existing Lebeau-Robbiano method for controllability of the heat equation</w:t>
            </w:r>
            <w:r w:rsidR="00A522B8" w:rsidRPr="00A522B8">
              <w:rPr>
                <w:iCs/>
                <w:color w:val="auto"/>
                <w:lang w:val="de-DE"/>
              </w:rPr>
              <w:t>s</w:t>
            </w:r>
            <w:r w:rsidRPr="00A522B8">
              <w:rPr>
                <w:iCs/>
                <w:color w:val="auto"/>
                <w:lang w:val="de-DE"/>
              </w:rPr>
              <w:t>.</w:t>
            </w:r>
            <w:r w:rsidR="00A522B8" w:rsidRPr="00A522B8">
              <w:rPr>
                <w:iCs/>
                <w:color w:val="auto"/>
                <w:lang w:val="de-DE"/>
              </w:rPr>
              <w:t xml:space="preserve"> </w:t>
            </w:r>
            <w:r w:rsidR="00A522B8" w:rsidRPr="00A522B8">
              <w:rPr>
                <w:rFonts w:cs="Arial"/>
                <w:color w:val="auto"/>
                <w:shd w:val="clear" w:color="auto" w:fill="FFFFFF"/>
              </w:rPr>
              <w:t xml:space="preserve">This is the first and most obvious application of the spectral inequality. Indeed, there is an established method, the so-called </w:t>
            </w:r>
            <w:proofErr w:type="spellStart"/>
            <w:r w:rsidR="00A522B8" w:rsidRPr="00A522B8">
              <w:rPr>
                <w:rFonts w:cs="Arial"/>
                <w:color w:val="auto"/>
                <w:shd w:val="clear" w:color="auto" w:fill="FFFFFF"/>
              </w:rPr>
              <w:t>Lebeau-Robbiano</w:t>
            </w:r>
            <w:proofErr w:type="spellEnd"/>
            <w:r w:rsidR="00A522B8" w:rsidRPr="00A522B8">
              <w:rPr>
                <w:rFonts w:cs="Arial"/>
                <w:color w:val="auto"/>
                <w:shd w:val="clear" w:color="auto" w:fill="FFFFFF"/>
              </w:rPr>
              <w:t xml:space="preserve"> method </w:t>
            </w:r>
            <w:bookmarkStart w:id="0" w:name="_GoBack"/>
            <w:bookmarkEnd w:id="0"/>
            <w:r w:rsidR="00A522B8" w:rsidRPr="00A522B8">
              <w:rPr>
                <w:rFonts w:cs="Arial"/>
                <w:color w:val="auto"/>
                <w:shd w:val="clear" w:color="auto" w:fill="FFFFFF"/>
              </w:rPr>
              <w:t>to torn spectral inequalities into controllability. We also discussed which dependence of the control cost on the geometry we can expect. In three dimensions with a constant magnetic field space itself might not be homogenous but so far, this is not reflected in our final constant.</w:t>
            </w:r>
          </w:p>
          <w:p w14:paraId="69686C03" w14:textId="7A9268B2" w:rsidR="00855770" w:rsidRPr="00365AE5" w:rsidRDefault="00365AE5" w:rsidP="00AB307A">
            <w:pPr>
              <w:spacing w:before="120"/>
              <w:rPr>
                <w:iCs/>
                <w:lang w:val="de-DE"/>
              </w:rPr>
            </w:pPr>
            <w:r>
              <w:rPr>
                <w:iCs/>
                <w:lang w:val="de-DE"/>
              </w:rPr>
              <w:t>Finally, I had a chance to meet Professor D. Mugnolo and studied about the torsional rigidity for Laplacian with delta coupling conditions on quantum graphs, which is</w:t>
            </w:r>
            <w:r w:rsidR="006725D7">
              <w:rPr>
                <w:iCs/>
                <w:lang w:val="de-DE"/>
              </w:rPr>
              <w:t xml:space="preserve"> an</w:t>
            </w:r>
            <w:r>
              <w:rPr>
                <w:iCs/>
                <w:lang w:val="de-DE"/>
              </w:rPr>
              <w:t xml:space="preserve"> almost completed project. </w:t>
            </w:r>
          </w:p>
        </w:tc>
      </w:tr>
      <w:tr w:rsidR="00855770" w:rsidRPr="00681CA3" w14:paraId="1AB1820B" w14:textId="77777777" w:rsidTr="00AB307A">
        <w:trPr>
          <w:trHeight w:val="1722"/>
        </w:trPr>
        <w:tc>
          <w:tcPr>
            <w:tcW w:w="9356" w:type="dxa"/>
            <w:tcBorders>
              <w:top w:val="nil"/>
              <w:bottom w:val="single" w:sz="4" w:space="0" w:color="auto"/>
            </w:tcBorders>
          </w:tcPr>
          <w:p w14:paraId="36D168E2" w14:textId="77777777" w:rsidR="00855770" w:rsidRPr="00681CA3" w:rsidRDefault="00855770" w:rsidP="00D37FE6">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hint="eastAsia"/>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47CDF5D0" w14:textId="77777777" w:rsidR="00365AE5" w:rsidRDefault="00855770" w:rsidP="00365AE5">
            <w:pPr>
              <w:spacing w:before="120"/>
              <w:rPr>
                <w:i/>
                <w:iCs/>
              </w:rPr>
            </w:pPr>
            <w:r w:rsidRPr="00AB7D5B">
              <w:rPr>
                <w:i/>
                <w:iCs/>
              </w:rPr>
              <w:t>(max.</w:t>
            </w:r>
            <w:r>
              <w:rPr>
                <w:i/>
                <w:iCs/>
              </w:rPr>
              <w:t xml:space="preserve"> </w:t>
            </w:r>
            <w:r w:rsidRPr="00AB7D5B">
              <w:rPr>
                <w:i/>
                <w:iCs/>
              </w:rPr>
              <w:t xml:space="preserve">500 words) </w:t>
            </w:r>
          </w:p>
          <w:p w14:paraId="227EB6F4" w14:textId="77777777" w:rsidR="00855770" w:rsidRDefault="00365AE5" w:rsidP="00365AE5">
            <w:pPr>
              <w:spacing w:before="120"/>
              <w:rPr>
                <w:iCs/>
              </w:rPr>
            </w:pPr>
            <w:r w:rsidRPr="00365AE5">
              <w:rPr>
                <w:iCs/>
              </w:rPr>
              <w:t>We successfully proved the three-dimensional Magnetic Bernstein inequality.</w:t>
            </w:r>
            <w:r>
              <w:rPr>
                <w:iCs/>
              </w:rPr>
              <w:t xml:space="preserve"> </w:t>
            </w:r>
            <w:r w:rsidR="00077B19" w:rsidRPr="00077B19">
              <w:rPr>
                <w:iCs/>
              </w:rPr>
              <w:t>Now our goal is to write this theorem in a well-structured manner, so that we can publish it as soon as possible.</w:t>
            </w:r>
            <w:r w:rsidR="00077B19">
              <w:rPr>
                <w:iCs/>
              </w:rPr>
              <w:t xml:space="preserve"> </w:t>
            </w:r>
          </w:p>
          <w:p w14:paraId="79965B1A" w14:textId="5282156E" w:rsidR="00077B19" w:rsidRPr="00365AE5" w:rsidRDefault="00077B19" w:rsidP="00A522B8">
            <w:pPr>
              <w:spacing w:before="120"/>
              <w:rPr>
                <w:iCs/>
              </w:rPr>
            </w:pPr>
            <w:r w:rsidRPr="00077B19">
              <w:rPr>
                <w:iCs/>
              </w:rPr>
              <w:t xml:space="preserve">We will continue our work by organizing a meeting with </w:t>
            </w:r>
            <w:proofErr w:type="spellStart"/>
            <w:r w:rsidRPr="00077B19">
              <w:rPr>
                <w:iCs/>
              </w:rPr>
              <w:t>Dr.</w:t>
            </w:r>
            <w:proofErr w:type="spellEnd"/>
            <w:r w:rsidRPr="00077B19">
              <w:rPr>
                <w:iCs/>
              </w:rPr>
              <w:t xml:space="preserve"> Sedef </w:t>
            </w:r>
            <w:proofErr w:type="spellStart"/>
            <w:r w:rsidRPr="00077B19">
              <w:rPr>
                <w:iCs/>
              </w:rPr>
              <w:t>Karakılıç</w:t>
            </w:r>
            <w:proofErr w:type="spellEnd"/>
            <w:r w:rsidR="00322B96">
              <w:rPr>
                <w:iCs/>
              </w:rPr>
              <w:t xml:space="preserve">, who is at </w:t>
            </w:r>
            <w:proofErr w:type="spellStart"/>
            <w:r w:rsidR="00322B96">
              <w:rPr>
                <w:iCs/>
              </w:rPr>
              <w:t>Dokuz</w:t>
            </w:r>
            <w:proofErr w:type="spellEnd"/>
            <w:r w:rsidR="00322B96">
              <w:rPr>
                <w:iCs/>
              </w:rPr>
              <w:t xml:space="preserve"> </w:t>
            </w:r>
            <w:proofErr w:type="spellStart"/>
            <w:r w:rsidR="00322B96">
              <w:rPr>
                <w:iCs/>
              </w:rPr>
              <w:t>Eylul</w:t>
            </w:r>
            <w:proofErr w:type="spellEnd"/>
            <w:r w:rsidR="00322B96">
              <w:rPr>
                <w:iCs/>
              </w:rPr>
              <w:t xml:space="preserve"> University in İzmir</w:t>
            </w:r>
            <w:r w:rsidR="00A522B8">
              <w:rPr>
                <w:iCs/>
              </w:rPr>
              <w:t xml:space="preserve">, </w:t>
            </w:r>
            <w:r w:rsidRPr="00077B19">
              <w:rPr>
                <w:iCs/>
              </w:rPr>
              <w:t>in the near future to better understand the geometric criteria for the magnetic wave equation.</w:t>
            </w:r>
            <w:r w:rsidR="00A522B8">
              <w:rPr>
                <w:iCs/>
              </w:rPr>
              <w:t xml:space="preserve"> </w:t>
            </w:r>
            <w:r w:rsidR="00A522B8" w:rsidRPr="00A522B8">
              <w:rPr>
                <w:rFonts w:cs="Arial"/>
                <w:color w:val="auto"/>
                <w:shd w:val="clear" w:color="auto" w:fill="FFFFFF"/>
              </w:rPr>
              <w:t xml:space="preserve">We will most likely combine this article with investigations on geometric criteria for controllability and observability for the wave and Schrödinger equation. For this purpose, we are currently planning a visit of M. </w:t>
            </w:r>
            <w:proofErr w:type="spellStart"/>
            <w:r w:rsidR="00A522B8" w:rsidRPr="00A522B8">
              <w:rPr>
                <w:rFonts w:cs="Arial"/>
                <w:color w:val="auto"/>
                <w:shd w:val="clear" w:color="auto" w:fill="FFFFFF"/>
              </w:rPr>
              <w:t>Täufer</w:t>
            </w:r>
            <w:proofErr w:type="spellEnd"/>
            <w:r w:rsidR="00A522B8" w:rsidRPr="00A522B8">
              <w:rPr>
                <w:rFonts w:cs="Arial"/>
                <w:color w:val="auto"/>
                <w:shd w:val="clear" w:color="auto" w:fill="FFFFFF"/>
              </w:rPr>
              <w:t xml:space="preserve"> to </w:t>
            </w:r>
            <w:proofErr w:type="spellStart"/>
            <w:r w:rsidR="00A522B8" w:rsidRPr="00A522B8">
              <w:rPr>
                <w:rFonts w:cs="Arial"/>
                <w:color w:val="auto"/>
                <w:shd w:val="clear" w:color="auto" w:fill="FFFFFF"/>
              </w:rPr>
              <w:t>Dr.</w:t>
            </w:r>
            <w:proofErr w:type="spellEnd"/>
            <w:r w:rsidR="00A522B8" w:rsidRPr="00A522B8">
              <w:rPr>
                <w:rFonts w:cs="Arial"/>
                <w:color w:val="auto"/>
                <w:shd w:val="clear" w:color="auto" w:fill="FFFFFF"/>
              </w:rPr>
              <w:t xml:space="preserve"> Sedef </w:t>
            </w:r>
            <w:proofErr w:type="spellStart"/>
            <w:r w:rsidR="00A522B8" w:rsidRPr="00A522B8">
              <w:rPr>
                <w:rFonts w:cs="Arial"/>
                <w:color w:val="auto"/>
                <w:shd w:val="clear" w:color="auto" w:fill="FFFFFF"/>
              </w:rPr>
              <w:t>Karakılıç</w:t>
            </w:r>
            <w:proofErr w:type="spellEnd"/>
            <w:r w:rsidR="00A522B8" w:rsidRPr="00A522B8">
              <w:rPr>
                <w:rFonts w:cs="Arial"/>
                <w:color w:val="auto"/>
                <w:shd w:val="clear" w:color="auto" w:fill="FFFFFF"/>
              </w:rPr>
              <w:t xml:space="preserve"> (an expert on magnetic Schrödinger operators) and Sedef </w:t>
            </w:r>
            <w:proofErr w:type="spellStart"/>
            <w:r w:rsidR="00A522B8" w:rsidRPr="00A522B8">
              <w:rPr>
                <w:rFonts w:cs="Arial"/>
                <w:color w:val="auto"/>
                <w:shd w:val="clear" w:color="auto" w:fill="FFFFFF"/>
              </w:rPr>
              <w:t>Özcan</w:t>
            </w:r>
            <w:proofErr w:type="spellEnd"/>
            <w:r w:rsidR="00A522B8" w:rsidRPr="00A522B8">
              <w:rPr>
                <w:rFonts w:cs="Arial"/>
                <w:color w:val="auto"/>
                <w:shd w:val="clear" w:color="auto" w:fill="FFFFFF"/>
              </w:rPr>
              <w:t xml:space="preserve"> in Izmir where we aim to focus on controllability of the magnetic wave equation</w:t>
            </w:r>
            <w:r w:rsidR="00A522B8">
              <w:rPr>
                <w:rFonts w:cs="Arial"/>
                <w:color w:val="auto"/>
                <w:shd w:val="clear" w:color="auto" w:fill="FFFFFF"/>
              </w:rPr>
              <w:t>.</w:t>
            </w:r>
          </w:p>
        </w:tc>
      </w:tr>
    </w:tbl>
    <w:p w14:paraId="1E3BB603" w14:textId="09B92752" w:rsidR="005146D6" w:rsidRPr="00D940F7" w:rsidRDefault="005146D6" w:rsidP="00D940F7"/>
    <w:sectPr w:rsidR="005146D6" w:rsidRPr="00D940F7"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4A66A" w14:textId="77777777" w:rsidR="00CE649C" w:rsidRDefault="00CE649C" w:rsidP="00F24F32">
      <w:r>
        <w:separator/>
      </w:r>
    </w:p>
  </w:endnote>
  <w:endnote w:type="continuationSeparator" w:id="0">
    <w:p w14:paraId="0C1F33B5" w14:textId="77777777" w:rsidR="00CE649C" w:rsidRDefault="00CE649C"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charset w:val="01"/>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1"/>
    <w:family w:val="roman"/>
    <w:pitch w:val="variable"/>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9C1E" w14:textId="67331524" w:rsidR="00851130" w:rsidRDefault="00851130" w:rsidP="00F24F32">
    <w:pPr>
      <w:pStyle w:val="Footer"/>
    </w:pPr>
    <w:r>
      <w:rPr>
        <w:noProof/>
        <w:lang w:val="en-US"/>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6F393458"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A20FE9">
                            <w:rPr>
                              <w:noProof/>
                              <w:sz w:val="16"/>
                              <w:szCs w:val="16"/>
                            </w:rPr>
                            <w:t>2</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filled="f" stroked="f">
              <v:textbox inset=",,0,8mm">
                <w:txbxContent>
                  <w:p w14:paraId="5715C8EA" w14:textId="6F393458"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A20FE9">
                      <w:rPr>
                        <w:noProof/>
                        <w:sz w:val="16"/>
                        <w:szCs w:val="16"/>
                      </w:rPr>
                      <w:t>2</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lang w:val="en-US"/>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E6779" w14:textId="77777777" w:rsidR="00CE649C" w:rsidRDefault="00CE649C" w:rsidP="00F24F32">
      <w:r>
        <w:separator/>
      </w:r>
    </w:p>
  </w:footnote>
  <w:footnote w:type="continuationSeparator" w:id="0">
    <w:p w14:paraId="2CB77F2D" w14:textId="77777777" w:rsidR="00CE649C" w:rsidRDefault="00CE649C"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466D" w14:textId="77777777" w:rsidR="00851130" w:rsidRDefault="00851130" w:rsidP="00F24F32">
    <w:pPr>
      <w:pStyle w:val="Header"/>
    </w:pPr>
    <w:r w:rsidRPr="002050E6">
      <w:rPr>
        <w:noProof/>
        <w:lang w:val="en-US"/>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5A25" w14:textId="35236CF4" w:rsidR="00773BAB" w:rsidRDefault="00687DCA" w:rsidP="00773BAB">
    <w:pPr>
      <w:pStyle w:val="Header"/>
    </w:pPr>
    <w:r>
      <w:rPr>
        <w:noProof/>
        <w:lang w:val="en-US"/>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01.65pt;height:101.6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283"/>
    <w:rsid w:val="00001897"/>
    <w:rsid w:val="00005D15"/>
    <w:rsid w:val="00033FE1"/>
    <w:rsid w:val="00035AF5"/>
    <w:rsid w:val="00042125"/>
    <w:rsid w:val="0005130B"/>
    <w:rsid w:val="00071487"/>
    <w:rsid w:val="00077B19"/>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2B96"/>
    <w:rsid w:val="00324DF6"/>
    <w:rsid w:val="00335FD5"/>
    <w:rsid w:val="00347A65"/>
    <w:rsid w:val="00353A67"/>
    <w:rsid w:val="003573E0"/>
    <w:rsid w:val="00365AE5"/>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4604"/>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725D7"/>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D3101"/>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0FE9"/>
    <w:rsid w:val="00A222F4"/>
    <w:rsid w:val="00A30394"/>
    <w:rsid w:val="00A312E6"/>
    <w:rsid w:val="00A33352"/>
    <w:rsid w:val="00A35C5C"/>
    <w:rsid w:val="00A522B8"/>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D130D"/>
    <w:rsid w:val="00CE1D0D"/>
    <w:rsid w:val="00CE5DC6"/>
    <w:rsid w:val="00CE649C"/>
    <w:rsid w:val="00CF5274"/>
    <w:rsid w:val="00D07A1C"/>
    <w:rsid w:val="00D174E9"/>
    <w:rsid w:val="00D30F99"/>
    <w:rsid w:val="00D34140"/>
    <w:rsid w:val="00D36F60"/>
    <w:rsid w:val="00D37FE6"/>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customStyle="1"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8D7A29-2DB3-43D8-9456-21F193AAA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73</TotalTime>
  <Pages>2</Pages>
  <Words>705</Words>
  <Characters>4019</Characters>
  <Application>Microsoft Office Word</Application>
  <DocSecurity>0</DocSecurity>
  <Lines>33</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sedef</cp:lastModifiedBy>
  <cp:revision>16</cp:revision>
  <cp:lastPrinted>2016-11-07T11:47:00Z</cp:lastPrinted>
  <dcterms:created xsi:type="dcterms:W3CDTF">2021-12-10T11:47:00Z</dcterms:created>
  <dcterms:modified xsi:type="dcterms:W3CDTF">2023-10-24T05:37:00Z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